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773174" w:rsidRDefault="00D844A1" w:rsidP="0077317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773174">
        <w:rPr>
          <w:rFonts w:ascii="Times New Roman" w:hAnsi="Times New Roman"/>
          <w:sz w:val="18"/>
          <w:szCs w:val="18"/>
        </w:rPr>
        <w:t> </w:t>
      </w:r>
      <w:r w:rsidR="00034E9E">
        <w:rPr>
          <w:rFonts w:ascii="Times New Roman" w:hAnsi="Times New Roman"/>
          <w:sz w:val="18"/>
          <w:szCs w:val="18"/>
        </w:rPr>
        <w:t>73</w:t>
      </w:r>
    </w:p>
    <w:p w:rsidR="00D844A1" w:rsidRPr="00773174" w:rsidRDefault="00D844A1" w:rsidP="00773174">
      <w:pPr>
        <w:pStyle w:val="111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Дата: « </w:t>
      </w:r>
      <w:r w:rsidR="00034E9E">
        <w:rPr>
          <w:rFonts w:ascii="Times New Roman" w:hAnsi="Times New Roman"/>
          <w:sz w:val="18"/>
          <w:szCs w:val="18"/>
        </w:rPr>
        <w:t>25</w:t>
      </w:r>
      <w:r w:rsidR="005266D9" w:rsidRP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» </w:t>
      </w:r>
      <w:r w:rsidR="006118DA" w:rsidRPr="00773174">
        <w:rPr>
          <w:rFonts w:ascii="Times New Roman" w:hAnsi="Times New Roman"/>
          <w:sz w:val="18"/>
          <w:szCs w:val="18"/>
        </w:rPr>
        <w:t>апреля</w:t>
      </w:r>
      <w:r w:rsidRPr="0077317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73174">
          <w:rPr>
            <w:rFonts w:ascii="Times New Roman" w:hAnsi="Times New Roman"/>
            <w:sz w:val="18"/>
            <w:szCs w:val="18"/>
          </w:rPr>
          <w:t>20</w:t>
        </w:r>
        <w:r w:rsidR="009062AA" w:rsidRPr="00773174">
          <w:rPr>
            <w:rFonts w:ascii="Times New Roman" w:hAnsi="Times New Roman"/>
            <w:sz w:val="18"/>
            <w:szCs w:val="18"/>
          </w:rPr>
          <w:t>1</w:t>
        </w:r>
        <w:r w:rsidR="00EF7367" w:rsidRPr="00773174">
          <w:rPr>
            <w:rFonts w:ascii="Times New Roman" w:hAnsi="Times New Roman"/>
            <w:sz w:val="18"/>
            <w:szCs w:val="18"/>
          </w:rPr>
          <w:t>1</w:t>
        </w:r>
        <w:r w:rsidRPr="00773174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773174">
        <w:rPr>
          <w:rFonts w:ascii="Times New Roman" w:hAnsi="Times New Roman"/>
          <w:sz w:val="18"/>
          <w:szCs w:val="18"/>
        </w:rPr>
        <w:t>.</w:t>
      </w:r>
    </w:p>
    <w:p w:rsidR="004C63DF" w:rsidRPr="00773174" w:rsidRDefault="004C63DF" w:rsidP="00773174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773174" w:rsidRDefault="00EB3CE3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773174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77317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773174" w:rsidRDefault="00047C39" w:rsidP="0077317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773174">
        <w:rPr>
          <w:rFonts w:ascii="Times New Roman" w:hAnsi="Times New Roman"/>
          <w:sz w:val="18"/>
          <w:szCs w:val="18"/>
        </w:rPr>
        <w:t>: федеральный бюджет (</w:t>
      </w:r>
      <w:r w:rsidRPr="00773174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773174" w:rsidRDefault="00047C39" w:rsidP="0077317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773174">
        <w:rPr>
          <w:rFonts w:ascii="Times New Roman" w:hAnsi="Times New Roman"/>
          <w:sz w:val="18"/>
          <w:szCs w:val="18"/>
        </w:rPr>
        <w:t>:</w:t>
      </w:r>
      <w:r w:rsidR="00AE5241" w:rsidRPr="00773174">
        <w:rPr>
          <w:rFonts w:ascii="Times New Roman" w:hAnsi="Times New Roman"/>
          <w:sz w:val="18"/>
          <w:szCs w:val="18"/>
        </w:rPr>
        <w:t xml:space="preserve"> </w:t>
      </w:r>
      <w:r w:rsidR="00442AC2" w:rsidRPr="00773174">
        <w:rPr>
          <w:rFonts w:ascii="Times New Roman" w:hAnsi="Times New Roman"/>
          <w:sz w:val="18"/>
          <w:szCs w:val="18"/>
        </w:rPr>
        <w:t>Метрологическая поверка (калибровка) средств измерений</w:t>
      </w:r>
      <w:r w:rsidRPr="00773174">
        <w:rPr>
          <w:rFonts w:ascii="Times New Roman" w:hAnsi="Times New Roman"/>
          <w:sz w:val="18"/>
          <w:szCs w:val="18"/>
        </w:rPr>
        <w:t>.</w:t>
      </w:r>
    </w:p>
    <w:p w:rsidR="00047C39" w:rsidRPr="00773174" w:rsidRDefault="00047C39" w:rsidP="0077317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="00442AC2" w:rsidRPr="00773174">
        <w:rPr>
          <w:rFonts w:ascii="Times New Roman" w:hAnsi="Times New Roman"/>
          <w:sz w:val="18"/>
          <w:szCs w:val="18"/>
        </w:rPr>
        <w:t>Метрологическая поверка (калибровка) средств измерений</w:t>
      </w:r>
      <w:r w:rsidR="00A93654" w:rsidRPr="00773174">
        <w:rPr>
          <w:rFonts w:ascii="Times New Roman" w:hAnsi="Times New Roman"/>
          <w:sz w:val="18"/>
          <w:szCs w:val="18"/>
        </w:rPr>
        <w:t xml:space="preserve"> – </w:t>
      </w:r>
      <w:r w:rsidR="006118DA" w:rsidRPr="00773174">
        <w:rPr>
          <w:rFonts w:ascii="Times New Roman" w:hAnsi="Times New Roman"/>
          <w:sz w:val="18"/>
          <w:szCs w:val="18"/>
        </w:rPr>
        <w:t>30</w:t>
      </w:r>
      <w:r w:rsidR="00E12D60">
        <w:rPr>
          <w:rFonts w:ascii="Times New Roman" w:hAnsi="Times New Roman"/>
          <w:sz w:val="18"/>
          <w:szCs w:val="18"/>
        </w:rPr>
        <w:t xml:space="preserve"> наименований</w:t>
      </w:r>
      <w:r w:rsidR="00442AC2" w:rsidRP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>(</w:t>
      </w:r>
      <w:proofErr w:type="gramStart"/>
      <w:r w:rsidRPr="0077317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773174">
        <w:rPr>
          <w:rFonts w:ascii="Times New Roman" w:hAnsi="Times New Roman"/>
          <w:sz w:val="18"/>
          <w:szCs w:val="18"/>
        </w:rPr>
        <w:t xml:space="preserve">: </w:t>
      </w:r>
      <w:r w:rsidR="00442AC2" w:rsidRPr="00773174">
        <w:rPr>
          <w:rFonts w:ascii="Times New Roman" w:hAnsi="Times New Roman"/>
          <w:sz w:val="18"/>
          <w:szCs w:val="18"/>
        </w:rPr>
        <w:t>Оказание услуг по поверке (калибровке) СИ производятся Исполнителем, как на технической базе Исполнителя, так и по месту нахождения Зака</w:t>
      </w:r>
      <w:r w:rsidR="006118DA" w:rsidRPr="00773174">
        <w:rPr>
          <w:rFonts w:ascii="Times New Roman" w:hAnsi="Times New Roman"/>
          <w:sz w:val="18"/>
          <w:szCs w:val="18"/>
        </w:rPr>
        <w:t>зчика, в зависимости от вида СИ</w:t>
      </w:r>
      <w:r w:rsidR="00442AC2" w:rsidRPr="00773174">
        <w:rPr>
          <w:rFonts w:ascii="Times New Roman" w:hAnsi="Times New Roman"/>
          <w:sz w:val="18"/>
          <w:szCs w:val="18"/>
        </w:rPr>
        <w:t>. Место проведения поверки (калибровки) СИ предусмотрено графиком оказания услуг (согласно технического задания – Приложение 2)</w:t>
      </w:r>
      <w:r w:rsidR="007F10EE" w:rsidRPr="00773174">
        <w:rPr>
          <w:rFonts w:ascii="Times New Roman" w:hAnsi="Times New Roman"/>
          <w:sz w:val="18"/>
          <w:szCs w:val="18"/>
        </w:rPr>
        <w:t>.</w:t>
      </w:r>
    </w:p>
    <w:p w:rsidR="00442AC2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773174">
        <w:rPr>
          <w:rFonts w:ascii="Times New Roman" w:hAnsi="Times New Roman"/>
          <w:sz w:val="18"/>
          <w:szCs w:val="18"/>
        </w:rPr>
        <w:t xml:space="preserve"> </w:t>
      </w:r>
      <w:r w:rsidR="00DB0A83" w:rsidRPr="00773174">
        <w:rPr>
          <w:rFonts w:ascii="Times New Roman" w:hAnsi="Times New Roman"/>
          <w:sz w:val="18"/>
          <w:szCs w:val="18"/>
        </w:rPr>
        <w:t xml:space="preserve">с </w:t>
      </w:r>
      <w:r w:rsidR="0024496A" w:rsidRPr="00773174">
        <w:rPr>
          <w:rFonts w:ascii="Times New Roman" w:hAnsi="Times New Roman"/>
          <w:sz w:val="18"/>
          <w:szCs w:val="18"/>
        </w:rPr>
        <w:t>момента зак</w:t>
      </w:r>
      <w:r w:rsidR="000B08C4" w:rsidRPr="00773174">
        <w:rPr>
          <w:rFonts w:ascii="Times New Roman" w:hAnsi="Times New Roman"/>
          <w:sz w:val="18"/>
          <w:szCs w:val="18"/>
        </w:rPr>
        <w:t>лючения договора</w:t>
      </w:r>
      <w:r w:rsidR="00442AC2" w:rsidRPr="00773174">
        <w:rPr>
          <w:rFonts w:ascii="Times New Roman" w:hAnsi="Times New Roman"/>
          <w:sz w:val="18"/>
          <w:szCs w:val="18"/>
        </w:rPr>
        <w:t xml:space="preserve"> до 31.12.2011г</w:t>
      </w:r>
      <w:r w:rsidR="007957A6">
        <w:rPr>
          <w:rFonts w:ascii="Times New Roman" w:hAnsi="Times New Roman"/>
          <w:sz w:val="18"/>
          <w:szCs w:val="18"/>
        </w:rPr>
        <w:t xml:space="preserve">, </w:t>
      </w:r>
      <w:r w:rsidR="007957A6" w:rsidRPr="00773174">
        <w:rPr>
          <w:rFonts w:ascii="Times New Roman" w:hAnsi="Times New Roman"/>
          <w:sz w:val="18"/>
          <w:szCs w:val="18"/>
        </w:rPr>
        <w:t xml:space="preserve">при этом срок осуществления поверки (калибровки) </w:t>
      </w:r>
      <w:r w:rsidR="007957A6">
        <w:rPr>
          <w:rFonts w:ascii="Times New Roman" w:hAnsi="Times New Roman"/>
          <w:sz w:val="18"/>
          <w:szCs w:val="18"/>
        </w:rPr>
        <w:t>устанавливается </w:t>
      </w:r>
      <w:r w:rsidR="007957A6" w:rsidRPr="00773174">
        <w:rPr>
          <w:rFonts w:ascii="Times New Roman" w:hAnsi="Times New Roman"/>
          <w:sz w:val="18"/>
          <w:szCs w:val="18"/>
        </w:rPr>
        <w:t>–</w:t>
      </w:r>
      <w:r w:rsidR="007957A6">
        <w:rPr>
          <w:rFonts w:ascii="Times New Roman" w:hAnsi="Times New Roman"/>
          <w:sz w:val="18"/>
          <w:szCs w:val="18"/>
        </w:rPr>
        <w:t xml:space="preserve"> </w:t>
      </w:r>
      <w:r w:rsidR="007957A6" w:rsidRPr="00773174">
        <w:rPr>
          <w:rFonts w:ascii="Times New Roman" w:hAnsi="Times New Roman"/>
          <w:sz w:val="18"/>
          <w:szCs w:val="18"/>
        </w:rPr>
        <w:t>10 рабочих дней со дня доставки СИ (при проведении поверки (калибровки) по месту нахождения Исполнителя) или со дня, установленного графиком проведения работ (при проведении поверки (калибровки) по месту нахождения Заказчика)</w:t>
      </w:r>
      <w:r w:rsidR="00580FB4" w:rsidRPr="00773174">
        <w:rPr>
          <w:rFonts w:ascii="Times New Roman" w:hAnsi="Times New Roman"/>
          <w:sz w:val="18"/>
          <w:szCs w:val="18"/>
        </w:rPr>
        <w:t xml:space="preserve"> (согласно технического задания – Приложение 2)</w:t>
      </w:r>
      <w:r w:rsidR="00442AC2" w:rsidRPr="00773174">
        <w:rPr>
          <w:rFonts w:ascii="Times New Roman" w:hAnsi="Times New Roman"/>
          <w:sz w:val="18"/>
          <w:szCs w:val="18"/>
        </w:rPr>
        <w:t>.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773174">
        <w:rPr>
          <w:rFonts w:ascii="Times New Roman" w:hAnsi="Times New Roman"/>
          <w:sz w:val="18"/>
          <w:szCs w:val="18"/>
        </w:rPr>
        <w:t xml:space="preserve">: </w:t>
      </w:r>
      <w:r w:rsidR="006118DA" w:rsidRPr="00773174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</w:t>
      </w:r>
      <w:r w:rsidRPr="00773174">
        <w:rPr>
          <w:rFonts w:ascii="Times New Roman" w:hAnsi="Times New Roman"/>
          <w:sz w:val="18"/>
          <w:szCs w:val="18"/>
        </w:rPr>
        <w:t xml:space="preserve">. 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773174">
        <w:rPr>
          <w:rFonts w:ascii="Times New Roman" w:hAnsi="Times New Roman"/>
          <w:sz w:val="18"/>
          <w:szCs w:val="18"/>
        </w:rPr>
        <w:t>:</w:t>
      </w:r>
      <w:r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="00034E9E">
        <w:rPr>
          <w:rFonts w:ascii="Times New Roman" w:hAnsi="Times New Roman"/>
          <w:b/>
          <w:sz w:val="18"/>
          <w:szCs w:val="18"/>
        </w:rPr>
        <w:t>100</w:t>
      </w:r>
      <w:r w:rsidR="006118DA" w:rsidRPr="00773174">
        <w:rPr>
          <w:rFonts w:ascii="Times New Roman" w:hAnsi="Times New Roman"/>
          <w:b/>
          <w:sz w:val="18"/>
          <w:szCs w:val="18"/>
        </w:rPr>
        <w:t xml:space="preserve"> 0</w:t>
      </w:r>
      <w:r w:rsidRPr="00773174">
        <w:rPr>
          <w:rFonts w:ascii="Times New Roman" w:hAnsi="Times New Roman"/>
          <w:b/>
          <w:sz w:val="18"/>
          <w:szCs w:val="18"/>
        </w:rPr>
        <w:t>00.00 руб.</w:t>
      </w:r>
      <w:r w:rsidRPr="00773174">
        <w:rPr>
          <w:rFonts w:ascii="Times New Roman" w:hAnsi="Times New Roman"/>
          <w:sz w:val="18"/>
          <w:szCs w:val="18"/>
        </w:rPr>
        <w:t xml:space="preserve"> 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773174">
        <w:rPr>
          <w:rFonts w:ascii="Times New Roman" w:hAnsi="Times New Roman"/>
          <w:sz w:val="18"/>
          <w:szCs w:val="18"/>
        </w:rPr>
        <w:t xml:space="preserve">: </w:t>
      </w:r>
      <w:r w:rsidR="00AA7EDC" w:rsidRPr="00773174">
        <w:rPr>
          <w:rFonts w:ascii="Times New Roman" w:hAnsi="Times New Roman"/>
          <w:b/>
          <w:sz w:val="18"/>
          <w:szCs w:val="18"/>
        </w:rPr>
        <w:t>с 09</w:t>
      </w:r>
      <w:r w:rsidRPr="00773174">
        <w:rPr>
          <w:rFonts w:ascii="Times New Roman" w:hAnsi="Times New Roman"/>
          <w:b/>
          <w:sz w:val="18"/>
          <w:szCs w:val="18"/>
        </w:rPr>
        <w:t>.</w:t>
      </w:r>
      <w:r w:rsidR="00AA7EDC" w:rsidRPr="00773174">
        <w:rPr>
          <w:rFonts w:ascii="Times New Roman" w:hAnsi="Times New Roman"/>
          <w:b/>
          <w:sz w:val="18"/>
          <w:szCs w:val="18"/>
        </w:rPr>
        <w:t>0</w:t>
      </w:r>
      <w:r w:rsidRPr="00773174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034E9E">
        <w:rPr>
          <w:rFonts w:ascii="Times New Roman" w:hAnsi="Times New Roman"/>
          <w:b/>
          <w:sz w:val="18"/>
          <w:szCs w:val="18"/>
        </w:rPr>
        <w:t>26</w:t>
      </w:r>
      <w:r w:rsidRPr="00773174">
        <w:rPr>
          <w:rFonts w:ascii="Times New Roman" w:hAnsi="Times New Roman"/>
          <w:b/>
          <w:sz w:val="18"/>
          <w:szCs w:val="18"/>
        </w:rPr>
        <w:t xml:space="preserve">» </w:t>
      </w:r>
      <w:r w:rsidR="006118DA" w:rsidRPr="00773174">
        <w:rPr>
          <w:rFonts w:ascii="Times New Roman" w:hAnsi="Times New Roman"/>
          <w:b/>
          <w:sz w:val="18"/>
          <w:szCs w:val="18"/>
        </w:rPr>
        <w:t>апреля</w:t>
      </w:r>
      <w:r w:rsidRPr="00773174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773174">
        <w:rPr>
          <w:rFonts w:ascii="Times New Roman" w:hAnsi="Times New Roman"/>
          <w:b/>
          <w:bCs/>
          <w:sz w:val="18"/>
          <w:szCs w:val="18"/>
        </w:rPr>
        <w:t>«</w:t>
      </w:r>
      <w:r w:rsidR="00034E9E">
        <w:rPr>
          <w:rFonts w:ascii="Times New Roman" w:hAnsi="Times New Roman"/>
          <w:b/>
          <w:bCs/>
          <w:sz w:val="18"/>
          <w:szCs w:val="18"/>
        </w:rPr>
        <w:t>03</w:t>
      </w:r>
      <w:r w:rsidRPr="0077317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34E9E">
        <w:rPr>
          <w:rFonts w:ascii="Times New Roman" w:hAnsi="Times New Roman"/>
          <w:b/>
          <w:bCs/>
          <w:sz w:val="18"/>
          <w:szCs w:val="18"/>
        </w:rPr>
        <w:t>м</w:t>
      </w:r>
      <w:r w:rsidR="006118DA" w:rsidRPr="00773174">
        <w:rPr>
          <w:rFonts w:ascii="Times New Roman" w:hAnsi="Times New Roman"/>
          <w:b/>
          <w:bCs/>
          <w:sz w:val="18"/>
          <w:szCs w:val="18"/>
        </w:rPr>
        <w:t>ая</w:t>
      </w:r>
      <w:r w:rsidRPr="007731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73174">
        <w:rPr>
          <w:rFonts w:ascii="Times New Roman" w:hAnsi="Times New Roman"/>
          <w:b/>
          <w:sz w:val="18"/>
          <w:szCs w:val="18"/>
        </w:rPr>
        <w:t>2011г.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773174">
        <w:rPr>
          <w:rFonts w:ascii="Times New Roman" w:hAnsi="Times New Roman"/>
          <w:sz w:val="18"/>
          <w:szCs w:val="18"/>
        </w:rPr>
        <w:t>:</w:t>
      </w:r>
      <w:r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77317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442AC2" w:rsidRPr="00773174">
        <w:rPr>
          <w:rFonts w:ascii="Times New Roman" w:hAnsi="Times New Roman"/>
          <w:sz w:val="18"/>
          <w:szCs w:val="18"/>
        </w:rPr>
        <w:t>по каждому</w:t>
      </w:r>
      <w:r w:rsidR="006118DA" w:rsidRPr="00773174">
        <w:rPr>
          <w:rFonts w:ascii="Times New Roman" w:hAnsi="Times New Roman"/>
          <w:sz w:val="18"/>
          <w:szCs w:val="18"/>
        </w:rPr>
        <w:t xml:space="preserve"> факту поверки (калибровки) СИ</w:t>
      </w:r>
      <w:r w:rsidR="00442AC2" w:rsidRPr="00773174">
        <w:rPr>
          <w:rFonts w:ascii="Times New Roman" w:hAnsi="Times New Roman"/>
          <w:sz w:val="18"/>
          <w:szCs w:val="18"/>
        </w:rPr>
        <w:t>, проведенных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773174">
        <w:rPr>
          <w:rFonts w:ascii="Times New Roman" w:hAnsi="Times New Roman"/>
          <w:sz w:val="18"/>
          <w:szCs w:val="18"/>
        </w:rPr>
        <w:t>.</w:t>
      </w:r>
    </w:p>
    <w:p w:rsidR="0051322B" w:rsidRPr="00773174" w:rsidRDefault="0051322B" w:rsidP="0077317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773174" w:rsidRDefault="0051322B" w:rsidP="00773174">
      <w:pPr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7317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773174" w:rsidRDefault="0051322B" w:rsidP="00773174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773174">
        <w:rPr>
          <w:rFonts w:ascii="Times New Roman" w:hAnsi="Times New Roman"/>
          <w:sz w:val="18"/>
          <w:szCs w:val="18"/>
        </w:rPr>
        <w:t xml:space="preserve">- </w:t>
      </w:r>
      <w:r w:rsidRPr="00773174">
        <w:rPr>
          <w:rFonts w:ascii="Times New Roman" w:hAnsi="Times New Roman"/>
          <w:b/>
          <w:sz w:val="18"/>
          <w:szCs w:val="18"/>
        </w:rPr>
        <w:t>или</w:t>
      </w:r>
      <w:r w:rsidRPr="00773174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034E9E" w:rsidRPr="008D4F4B" w:rsidRDefault="00034E9E" w:rsidP="00034E9E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11.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8D4F4B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D4F4B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8D4F4B">
        <w:rPr>
          <w:rFonts w:ascii="Times New Roman" w:hAnsi="Times New Roman"/>
          <w:sz w:val="18"/>
          <w:szCs w:val="18"/>
        </w:rPr>
        <w:t>.Н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8D4F4B">
        <w:rPr>
          <w:rFonts w:ascii="Times New Roman" w:hAnsi="Times New Roman"/>
          <w:sz w:val="18"/>
          <w:szCs w:val="18"/>
        </w:rPr>
        <w:t>каб</w:t>
      </w:r>
      <w:proofErr w:type="spellEnd"/>
      <w:r w:rsidRPr="008D4F4B">
        <w:rPr>
          <w:rFonts w:ascii="Times New Roman" w:hAnsi="Times New Roman"/>
          <w:sz w:val="18"/>
          <w:szCs w:val="18"/>
        </w:rPr>
        <w:t>. Л-</w:t>
      </w:r>
      <w:r>
        <w:rPr>
          <w:rFonts w:ascii="Times New Roman" w:hAnsi="Times New Roman"/>
          <w:sz w:val="18"/>
          <w:szCs w:val="18"/>
        </w:rPr>
        <w:t>010</w:t>
      </w:r>
      <w:r w:rsidRPr="008D4F4B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8D4F4B">
        <w:rPr>
          <w:rFonts w:ascii="Times New Roman" w:hAnsi="Times New Roman"/>
          <w:sz w:val="18"/>
          <w:szCs w:val="18"/>
        </w:rPr>
        <w:t>Пн-Ч-т</w:t>
      </w:r>
      <w:proofErr w:type="spellEnd"/>
      <w:r w:rsidRPr="008D4F4B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8D4F4B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8D4F4B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Pr="00904B3D">
          <w:rPr>
            <w:rStyle w:val="a4"/>
            <w:rFonts w:ascii="Times New Roman" w:hAnsi="Times New Roman"/>
            <w:sz w:val="18"/>
            <w:szCs w:val="18"/>
            <w:lang w:val="en-US"/>
          </w:rPr>
          <w:t>pechko</w:t>
        </w:r>
        <w:r w:rsidRPr="00904B3D">
          <w:rPr>
            <w:rStyle w:val="a4"/>
            <w:rFonts w:ascii="Times New Roman" w:hAnsi="Times New Roman"/>
            <w:sz w:val="18"/>
            <w:szCs w:val="18"/>
          </w:rPr>
          <w:t>@</w:t>
        </w:r>
        <w:r w:rsidRPr="00904B3D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904B3D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904B3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EE34AC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. (заявки по факсу не принимаются).</w:t>
      </w:r>
    </w:p>
    <w:p w:rsidR="00034E9E" w:rsidRPr="008D4F4B" w:rsidRDefault="00034E9E" w:rsidP="00034E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Контактное лицо: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Печко Елена Ивановна</w:t>
      </w:r>
      <w:r w:rsidRPr="008D4F4B">
        <w:rPr>
          <w:rFonts w:ascii="Times New Roman" w:hAnsi="Times New Roman"/>
          <w:sz w:val="18"/>
          <w:szCs w:val="18"/>
        </w:rPr>
        <w:t>. Телефон: 328-0</w:t>
      </w:r>
      <w:r>
        <w:rPr>
          <w:rFonts w:ascii="Times New Roman" w:hAnsi="Times New Roman"/>
          <w:sz w:val="18"/>
          <w:szCs w:val="18"/>
        </w:rPr>
        <w:t>582</w:t>
      </w:r>
      <w:r w:rsidRPr="008D4F4B">
        <w:rPr>
          <w:rFonts w:ascii="Times New Roman" w:hAnsi="Times New Roman"/>
          <w:sz w:val="18"/>
          <w:szCs w:val="18"/>
        </w:rPr>
        <w:t>. 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12</w:t>
      </w:r>
      <w:r w:rsidRPr="0077317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773174" w:rsidRDefault="0051322B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13</w:t>
      </w:r>
      <w:r w:rsidRPr="0077317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73174">
        <w:rPr>
          <w:rFonts w:ascii="Times New Roman" w:hAnsi="Times New Roman"/>
          <w:b/>
          <w:sz w:val="18"/>
          <w:szCs w:val="18"/>
        </w:rPr>
        <w:t>14</w:t>
      </w:r>
      <w:r w:rsidRPr="0077317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15.</w:t>
      </w:r>
      <w:r w:rsidRPr="0077317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16</w:t>
      </w:r>
      <w:r w:rsidRPr="00773174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77317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773174" w:rsidRDefault="0051322B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17</w:t>
      </w:r>
      <w:r w:rsidRPr="00773174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77317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773174" w:rsidRDefault="0051322B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18.</w:t>
      </w:r>
      <w:r w:rsidRPr="0077317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Приложения: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317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317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317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773174" w:rsidRDefault="0051322B" w:rsidP="0077317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773174" w:rsidRDefault="00EE2CC1" w:rsidP="0077317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Приложение 1</w:t>
      </w:r>
    </w:p>
    <w:p w:rsidR="00047C39" w:rsidRPr="00773174" w:rsidRDefault="00047C39" w:rsidP="0077317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73174">
        <w:rPr>
          <w:rFonts w:ascii="Times New Roman" w:hAnsi="Times New Roman"/>
          <w:sz w:val="18"/>
          <w:szCs w:val="18"/>
        </w:rPr>
        <w:t>на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731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317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317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</w:t>
            </w:r>
            <w:r w:rsidRPr="00773174">
              <w:rPr>
                <w:rFonts w:ascii="Times New Roman" w:hAnsi="Times New Roman"/>
                <w:sz w:val="18"/>
                <w:szCs w:val="18"/>
              </w:rPr>
              <w:lastRenderedPageBreak/>
              <w:t>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М.П.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</w:p>
    <w:p w:rsidR="00047C39" w:rsidRPr="00773174" w:rsidRDefault="00047C39" w:rsidP="007731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773174" w:rsidRDefault="00047C39" w:rsidP="007731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773174" w:rsidRDefault="00047C39" w:rsidP="007731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773174" w:rsidRDefault="00047C39" w:rsidP="0077317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- КПП,</w:t>
      </w:r>
      <w:r w:rsidR="00DB0A83" w:rsidRP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773174">
        <w:rPr>
          <w:rFonts w:ascii="Times New Roman" w:hAnsi="Times New Roman"/>
          <w:sz w:val="18"/>
          <w:szCs w:val="18"/>
        </w:rPr>
        <w:t>E-mail</w:t>
      </w:r>
      <w:proofErr w:type="spellEnd"/>
      <w:r w:rsidRPr="00773174">
        <w:rPr>
          <w:rFonts w:ascii="Times New Roman" w:hAnsi="Times New Roman"/>
          <w:sz w:val="18"/>
          <w:szCs w:val="18"/>
        </w:rPr>
        <w:t>.</w:t>
      </w:r>
    </w:p>
    <w:p w:rsidR="003D52A6" w:rsidRPr="00773174" w:rsidRDefault="003D52A6" w:rsidP="00773174">
      <w:pPr>
        <w:rPr>
          <w:rFonts w:ascii="Times New Roman" w:hAnsi="Times New Roman"/>
          <w:b/>
          <w:sz w:val="18"/>
          <w:szCs w:val="18"/>
        </w:rPr>
      </w:pPr>
    </w:p>
    <w:p w:rsidR="00EC0AFE" w:rsidRPr="00773174" w:rsidRDefault="00A07199" w:rsidP="00773174">
      <w:pPr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773174" w:rsidRDefault="00A07199" w:rsidP="00773174">
      <w:pPr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A6181" w:rsidRPr="00773174" w:rsidRDefault="009A6181" w:rsidP="00773174">
      <w:pPr>
        <w:tabs>
          <w:tab w:val="left" w:pos="0"/>
        </w:tabs>
        <w:ind w:firstLine="24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Метрологическая поверка</w:t>
      </w:r>
      <w:r w:rsidR="0005483E" w:rsidRPr="00773174">
        <w:rPr>
          <w:rFonts w:ascii="Times New Roman" w:hAnsi="Times New Roman"/>
          <w:b/>
          <w:sz w:val="18"/>
          <w:szCs w:val="18"/>
        </w:rPr>
        <w:t xml:space="preserve"> (калибровка) средств измерений</w:t>
      </w:r>
      <w:r w:rsidR="006118DA"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Pr="00773174">
        <w:rPr>
          <w:rFonts w:ascii="Times New Roman" w:hAnsi="Times New Roman"/>
          <w:b/>
          <w:sz w:val="18"/>
          <w:szCs w:val="18"/>
        </w:rPr>
        <w:t>СГУПС</w:t>
      </w:r>
    </w:p>
    <w:p w:rsidR="006118DA" w:rsidRPr="00773174" w:rsidRDefault="006118DA" w:rsidP="00773174">
      <w:pPr>
        <w:tabs>
          <w:tab w:val="left" w:pos="0"/>
        </w:tabs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1. Количество средств измерения (СИ), подлежащих поверке</w:t>
      </w:r>
      <w:r w:rsid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>(калибровке), и сроки ее проведения определяются графиком (см</w:t>
      </w:r>
      <w:proofErr w:type="gramStart"/>
      <w:r w:rsidRPr="00773174">
        <w:rPr>
          <w:rFonts w:ascii="Times New Roman" w:hAnsi="Times New Roman"/>
          <w:sz w:val="18"/>
          <w:szCs w:val="18"/>
        </w:rPr>
        <w:t>.н</w:t>
      </w:r>
      <w:proofErr w:type="gramEnd"/>
      <w:r w:rsidRPr="00773174">
        <w:rPr>
          <w:rFonts w:ascii="Times New Roman" w:hAnsi="Times New Roman"/>
          <w:sz w:val="18"/>
          <w:szCs w:val="18"/>
        </w:rPr>
        <w:t>иже).</w:t>
      </w:r>
    </w:p>
    <w:p w:rsidR="006118DA" w:rsidRPr="00773174" w:rsidRDefault="006118DA" w:rsidP="00773174">
      <w:pPr>
        <w:pStyle w:val="21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2. Заказчик оплачивает услуги  по каждому факту поверки</w:t>
      </w:r>
      <w:r w:rsid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(калибровки) СИ, проведенной в соответствии с графиком, в течение 10 банковских дней после подписания акта сдачи-приемки услуг на основании выставленного счета.  </w:t>
      </w:r>
    </w:p>
    <w:p w:rsidR="006118DA" w:rsidRPr="00773174" w:rsidRDefault="006118DA" w:rsidP="00773174">
      <w:pPr>
        <w:pStyle w:val="af4"/>
        <w:tabs>
          <w:tab w:val="left" w:pos="0"/>
        </w:tabs>
        <w:spacing w:after="0"/>
        <w:ind w:left="0"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3. Заказчик обязан представлять СИ на поверку (калибровку)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</w:t>
      </w:r>
      <w:r w:rsidR="00773174">
        <w:rPr>
          <w:rFonts w:ascii="Times New Roman" w:hAnsi="Times New Roman"/>
          <w:sz w:val="18"/>
          <w:szCs w:val="18"/>
        </w:rPr>
        <w:t>ерке, сертификатом о калибровке,</w:t>
      </w:r>
      <w:r w:rsidRPr="00773174">
        <w:rPr>
          <w:rFonts w:ascii="Times New Roman" w:hAnsi="Times New Roman"/>
          <w:sz w:val="18"/>
          <w:szCs w:val="18"/>
        </w:rPr>
        <w:t xml:space="preserve"> а также необходимыми комплектующими устройствами (источники питания, кабели и др.). Обеспечить доступ к месту оказания услуг и безопасность работ.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4.</w:t>
      </w:r>
      <w:r w:rsidR="00FB2809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>Оказание услуг по поверке (калибровке) СИ производятся Исполнителем, как на технической базе Исполнителя, так и по месту нахождения Заказчика, в зависимости от вида СИ. Место проведения поверки (калибровки) СИ предусмотрено графиком оказания услуг.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5. При проведении поверки (калибровки) на технической базе Исполнителя Заказчик самостоятельно доставляет СИ к месту оказания услуг и в сроки, установленные графиком оказания услуг, и обратно. При этом получение СИ после оказания услуг представителем Заказчика производится на основании надлежащим образом оформленной доверенности.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6. При проведении поверки (калибровки)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7. Оказание услуг Исполнителем производится в </w:t>
      </w:r>
      <w:proofErr w:type="gramStart"/>
      <w:r w:rsidRPr="0077317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с графиком, при этом срок осуществления поверки (калибровки) </w:t>
      </w:r>
      <w:r w:rsidR="00FB2809">
        <w:rPr>
          <w:rFonts w:ascii="Times New Roman" w:hAnsi="Times New Roman"/>
          <w:sz w:val="18"/>
          <w:szCs w:val="18"/>
        </w:rPr>
        <w:t>устанавливается </w:t>
      </w:r>
      <w:r w:rsidRPr="00773174">
        <w:rPr>
          <w:rFonts w:ascii="Times New Roman" w:hAnsi="Times New Roman"/>
          <w:sz w:val="18"/>
          <w:szCs w:val="18"/>
        </w:rPr>
        <w:t>–</w:t>
      </w:r>
      <w:r w:rsidR="00FB2809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10 рабочих дней со дня доставки СИ (при проведении поверки (калибровки) по месту нахождения Исполнителя) или со дня, установленного графиком проведения работ (при проведении поверки (калибровки) по месту нахождения Заказчика).  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8. Исполнитель проводит поверку (калибровку) СИ Заказчика в соответствии с Правилами по метрологии: </w:t>
      </w:r>
      <w:proofErr w:type="gramStart"/>
      <w:r w:rsidRPr="00773174">
        <w:rPr>
          <w:rFonts w:ascii="Times New Roman" w:hAnsi="Times New Roman"/>
          <w:sz w:val="18"/>
          <w:szCs w:val="18"/>
        </w:rPr>
        <w:t>ПР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 и ПР 50.2.016-94, зарегистрированными Минюстом РФ 24.01.95г. № 782.   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</w:p>
    <w:p w:rsidR="00580FB4" w:rsidRPr="00773174" w:rsidRDefault="00580FB4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center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773174">
        <w:rPr>
          <w:rFonts w:ascii="Times New Roman" w:hAnsi="Times New Roman"/>
          <w:sz w:val="18"/>
          <w:szCs w:val="18"/>
        </w:rPr>
        <w:t>ГРАФИК  поверки (калибровки)</w:t>
      </w:r>
      <w:r w:rsidR="006118DA" w:rsidRPr="00773174">
        <w:rPr>
          <w:rFonts w:ascii="Times New Roman" w:hAnsi="Times New Roman"/>
          <w:b/>
          <w:bCs/>
          <w:i/>
          <w:iCs/>
          <w:sz w:val="18"/>
          <w:szCs w:val="18"/>
        </w:rPr>
        <w:t xml:space="preserve"> СИ</w:t>
      </w:r>
      <w:r w:rsidRPr="00773174">
        <w:rPr>
          <w:rFonts w:ascii="Times New Roman" w:hAnsi="Times New Roman"/>
          <w:sz w:val="18"/>
          <w:szCs w:val="18"/>
        </w:rPr>
        <w:t xml:space="preserve">  </w:t>
      </w:r>
      <w:r w:rsidR="009A6181" w:rsidRPr="00773174">
        <w:rPr>
          <w:rFonts w:ascii="Times New Roman" w:hAnsi="Times New Roman"/>
          <w:sz w:val="18"/>
          <w:szCs w:val="18"/>
          <w:u w:val="single"/>
        </w:rPr>
        <w:t>на</w:t>
      </w:r>
      <w:r w:rsidRPr="00773174">
        <w:rPr>
          <w:rFonts w:ascii="Times New Roman" w:hAnsi="Times New Roman"/>
          <w:sz w:val="18"/>
          <w:szCs w:val="18"/>
          <w:u w:val="single"/>
        </w:rPr>
        <w:t xml:space="preserve"> 2011 г.</w:t>
      </w:r>
    </w:p>
    <w:tbl>
      <w:tblPr>
        <w:tblW w:w="11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711"/>
        <w:gridCol w:w="1418"/>
        <w:gridCol w:w="2125"/>
        <w:gridCol w:w="720"/>
        <w:gridCol w:w="370"/>
        <w:gridCol w:w="320"/>
        <w:gridCol w:w="379"/>
        <w:gridCol w:w="11"/>
        <w:gridCol w:w="1319"/>
        <w:gridCol w:w="567"/>
        <w:gridCol w:w="596"/>
        <w:gridCol w:w="443"/>
      </w:tblGrid>
      <w:tr w:rsidR="00773174" w:rsidRPr="00773174" w:rsidTr="00FB2809">
        <w:trPr>
          <w:gridBefore w:val="6"/>
          <w:gridAfter w:val="6"/>
          <w:wBefore w:w="7894" w:type="dxa"/>
          <w:wAfter w:w="3315" w:type="dxa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73174" w:rsidRPr="00773174" w:rsidRDefault="00773174" w:rsidP="00773174">
            <w:pPr>
              <w:pStyle w:val="6"/>
              <w:rPr>
                <w:b/>
                <w:bCs/>
                <w:sz w:val="18"/>
                <w:szCs w:val="18"/>
              </w:rPr>
            </w:pPr>
          </w:p>
        </w:tc>
      </w:tr>
      <w:tr w:rsidR="00773174" w:rsidRPr="007957A6" w:rsidTr="00FB2809">
        <w:trPr>
          <w:cantSplit/>
          <w:trHeight w:val="204"/>
        </w:trPr>
        <w:tc>
          <w:tcPr>
            <w:tcW w:w="550" w:type="dxa"/>
            <w:vMerge w:val="restart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Наименование,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тип, заводское обозначение</w:t>
            </w:r>
          </w:p>
        </w:tc>
        <w:tc>
          <w:tcPr>
            <w:tcW w:w="3543" w:type="dxa"/>
            <w:gridSpan w:val="2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Метрологические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характеристики</w:t>
            </w:r>
          </w:p>
        </w:tc>
        <w:tc>
          <w:tcPr>
            <w:tcW w:w="720" w:type="dxa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МПИ, мес.</w:t>
            </w:r>
          </w:p>
        </w:tc>
        <w:tc>
          <w:tcPr>
            <w:tcW w:w="1080" w:type="dxa"/>
            <w:gridSpan w:val="4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Дата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послед-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ней</w:t>
            </w:r>
          </w:p>
          <w:p w:rsidR="00773174" w:rsidRPr="007957A6" w:rsidRDefault="00FB2809" w:rsidP="00FB28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повер</w:t>
            </w:r>
            <w:r w:rsidR="00773174" w:rsidRPr="007957A6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1319" w:type="dxa"/>
            <w:vMerge w:val="restart"/>
          </w:tcPr>
          <w:p w:rsidR="00773174" w:rsidRPr="007957A6" w:rsidRDefault="00773174" w:rsidP="00773174">
            <w:pPr>
              <w:pStyle w:val="1"/>
              <w:jc w:val="center"/>
              <w:rPr>
                <w:sz w:val="17"/>
                <w:szCs w:val="17"/>
              </w:rPr>
            </w:pPr>
            <w:r w:rsidRPr="007957A6">
              <w:rPr>
                <w:sz w:val="17"/>
                <w:szCs w:val="17"/>
              </w:rPr>
              <w:t>Место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поверки</w:t>
            </w:r>
          </w:p>
        </w:tc>
        <w:tc>
          <w:tcPr>
            <w:tcW w:w="1606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Сроки проведения поверки</w:t>
            </w:r>
          </w:p>
        </w:tc>
      </w:tr>
      <w:tr w:rsidR="00773174" w:rsidRPr="007957A6" w:rsidTr="00FB2809">
        <w:trPr>
          <w:cantSplit/>
          <w:trHeight w:val="276"/>
        </w:trPr>
        <w:tc>
          <w:tcPr>
            <w:tcW w:w="55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1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9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май</w:t>
            </w:r>
          </w:p>
        </w:tc>
        <w:tc>
          <w:tcPr>
            <w:tcW w:w="596" w:type="dxa"/>
            <w:vMerge w:val="restart"/>
            <w:textDirection w:val="btLr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июнь</w:t>
            </w:r>
          </w:p>
        </w:tc>
        <w:tc>
          <w:tcPr>
            <w:tcW w:w="443" w:type="dxa"/>
            <w:vMerge w:val="restart"/>
            <w:textDirection w:val="btLr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октябрь</w:t>
            </w:r>
          </w:p>
        </w:tc>
      </w:tr>
      <w:tr w:rsidR="00773174" w:rsidRPr="007957A6" w:rsidTr="00FB2809">
        <w:trPr>
          <w:cantSplit/>
          <w:trHeight w:val="484"/>
        </w:trPr>
        <w:tc>
          <w:tcPr>
            <w:tcW w:w="55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1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Класс точности</w:t>
            </w:r>
          </w:p>
        </w:tc>
        <w:tc>
          <w:tcPr>
            <w:tcW w:w="2125" w:type="dxa"/>
          </w:tcPr>
          <w:p w:rsidR="00773174" w:rsidRPr="007957A6" w:rsidRDefault="00FB2809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Предел измере</w:t>
            </w:r>
            <w:r w:rsidR="00773174" w:rsidRPr="007957A6">
              <w:rPr>
                <w:rFonts w:ascii="Times New Roman" w:hAnsi="Times New Roman"/>
                <w:sz w:val="17"/>
                <w:szCs w:val="17"/>
              </w:rPr>
              <w:t>ний</w:t>
            </w:r>
          </w:p>
        </w:tc>
        <w:tc>
          <w:tcPr>
            <w:tcW w:w="72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9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Рулетка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измер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. зав.№2002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1 мм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Кл.</w:t>
            </w: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III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 – 30)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 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 телескоп.  4-х метровая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зав.№03260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0,05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4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дорожная унив. Кондор, зав. №1025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 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уклон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(0-100) %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0"/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Штангенциркуль ШЦ-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,зав.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.№ Б030737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Ц.д.0,05 мм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ПГ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 1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(0-250)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pStyle w:val="1"/>
              <w:rPr>
                <w:b/>
                <w:bCs/>
                <w:sz w:val="17"/>
                <w:szCs w:val="17"/>
              </w:rPr>
            </w:pPr>
            <w:r w:rsidRPr="007957A6">
              <w:rPr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Штангенциркуль ШЦ-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зав. №0581188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0,1 мм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ПГ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 1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 – 125)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Индикатор час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т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ипа ИЧ-10.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 шт.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Индикатор час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т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ипа ИЧ-2,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 шт. 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Набор мерной посуды № 69,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4 </w:t>
            </w:r>
            <w:proofErr w:type="spellStart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 л, 2 л,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 л, 10 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К и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Ш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,  зав. №460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pStyle w:val="23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Шарик – Ø 9,525 мм, масса 3,5 ± 0,05 г </w:t>
            </w:r>
          </w:p>
          <w:p w:rsidR="00773174" w:rsidRPr="007957A6" w:rsidRDefault="00773174" w:rsidP="00773174">
            <w:pPr>
              <w:pStyle w:val="23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Кольцо –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Ø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внеш.=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23,0±0,2 мм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Ø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внутр.=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15,9±0,2 мм 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Союздорнии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для стандартного уплотнения грунта (малый) б/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pStyle w:val="af"/>
              <w:tabs>
                <w:tab w:val="clear" w:pos="4677"/>
                <w:tab w:val="clear" w:pos="9355"/>
              </w:tabs>
              <w:rPr>
                <w:sz w:val="17"/>
                <w:szCs w:val="17"/>
              </w:rPr>
            </w:pPr>
            <w:r w:rsidRPr="007957A6">
              <w:rPr>
                <w:sz w:val="17"/>
                <w:szCs w:val="17"/>
              </w:rPr>
              <w:t>0,1 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Союздорнии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для стандартного уплотнения грунта большой) </w:t>
            </w:r>
            <w:proofErr w:type="gramEnd"/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1,0 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Набор сит для грохота, 20 шт.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инв.№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3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размер ячеек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(0,16-70)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Набор сит для асфальтобетона,  10 шт. №266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размер ячеек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(0,071-40)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lastRenderedPageBreak/>
              <w:t>14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Стальной цилиндр со съемным дном и плунжером инв.№4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Набор для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отмучивания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песка и щебня КП 305,КП 306, КП 401, зав. №731          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Пенетрометр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модель 984, зав№14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ц.д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 0,1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масса плунжера 47,5±0,05 г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масса 1 груза 50±0,05 г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масса 1 груза 100±0,05 г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Дуктилометр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974 Н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зав.№1141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(0-70) см  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Вискозиметр стандартный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ЦБК-975,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100 мл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Нивелир </w:t>
            </w: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Sokkia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В20-31 зав. №364178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 1 км 2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0-300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Нивелир ЗН-2КЛ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28647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 1 км 2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0-250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телескоп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з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01 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0,05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5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C</w:t>
            </w:r>
            <w:proofErr w:type="spellStart"/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оюздор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НИИ для опр.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к-та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фильт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 Песка № 26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 дм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Конус балансирный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конусн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 29</w:t>
            </w:r>
            <w:r w:rsidRPr="007957A6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33', высота от остр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к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онуса до риски 9,95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Форма для формования асфальтобетонной смеси (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облегчен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.),  2 шт.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FB28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=71,4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Тахеометр 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Leica</w:t>
            </w:r>
            <w:proofErr w:type="spellEnd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ТС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307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зав.№682475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угол 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7957A6">
              <w:rPr>
                <w:rFonts w:ascii="Times New Roman" w:hAnsi="Times New Roman"/>
                <w:sz w:val="17"/>
                <w:szCs w:val="17"/>
              </w:rPr>
              <w:t>0,3”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(0,6+1,0</w:t>
            </w: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)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bCs/>
                <w:sz w:val="17"/>
                <w:szCs w:val="17"/>
              </w:rPr>
              <w:t xml:space="preserve">Комплекс АПК «Профиль»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bCs/>
                <w:sz w:val="17"/>
                <w:szCs w:val="17"/>
              </w:rPr>
              <w:t>зав.№005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00B1"/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 0,008 %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Спутниковая аппаратура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Trimble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5700 №0220406266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№2203141119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GPS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-приемники спутниковые геодезические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30 км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2711" w:type="dxa"/>
          </w:tcPr>
          <w:p w:rsidR="00773174" w:rsidRPr="007957A6" w:rsidRDefault="00773174" w:rsidP="00FB2809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Прибор ППК</w:t>
            </w:r>
            <w:r w:rsidR="00FB2809"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МАДИ зав. № 13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  <w:highlight w:val="magenta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711" w:type="dxa"/>
          </w:tcPr>
          <w:p w:rsidR="00773174" w:rsidRPr="007957A6" w:rsidRDefault="00773174" w:rsidP="00FB2809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Кондор</w:t>
            </w:r>
            <w:r w:rsidR="00FB2809"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зав. №3223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 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Уклон (0-100) %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0"/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Курвиметр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дорож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УДК «Ровность»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005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</w:tr>
    </w:tbl>
    <w:p w:rsidR="00773174" w:rsidRPr="00773174" w:rsidRDefault="00773174" w:rsidP="00FB2809">
      <w:pPr>
        <w:rPr>
          <w:rFonts w:ascii="Times New Roman" w:hAnsi="Times New Roman"/>
          <w:b/>
          <w:sz w:val="18"/>
          <w:szCs w:val="18"/>
        </w:rPr>
      </w:pPr>
    </w:p>
    <w:p w:rsidR="00A07199" w:rsidRPr="00773174" w:rsidRDefault="00D844A1" w:rsidP="0077317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Приложение №</w:t>
      </w:r>
      <w:r w:rsidR="00A07199" w:rsidRPr="00773174">
        <w:rPr>
          <w:rFonts w:ascii="Times New Roman" w:hAnsi="Times New Roman"/>
          <w:sz w:val="18"/>
          <w:szCs w:val="18"/>
        </w:rPr>
        <w:t>3</w:t>
      </w:r>
      <w:r w:rsidR="004B6543" w:rsidRPr="00773174">
        <w:rPr>
          <w:rFonts w:ascii="Times New Roman" w:hAnsi="Times New Roman"/>
          <w:sz w:val="18"/>
          <w:szCs w:val="18"/>
        </w:rPr>
        <w:t xml:space="preserve">     </w:t>
      </w:r>
    </w:p>
    <w:p w:rsidR="006118DA" w:rsidRPr="00773174" w:rsidRDefault="006118DA" w:rsidP="00773174">
      <w:pPr>
        <w:pStyle w:val="1"/>
        <w:suppressAutoHyphens/>
        <w:jc w:val="center"/>
        <w:rPr>
          <w:b/>
          <w:sz w:val="18"/>
          <w:szCs w:val="18"/>
        </w:rPr>
      </w:pPr>
      <w:r w:rsidRPr="00773174">
        <w:rPr>
          <w:b/>
          <w:sz w:val="18"/>
          <w:szCs w:val="18"/>
        </w:rPr>
        <w:t>ДОГОВОР № _____</w:t>
      </w:r>
    </w:p>
    <w:p w:rsidR="006118DA" w:rsidRPr="00773174" w:rsidRDefault="006118DA" w:rsidP="00773174">
      <w:pPr>
        <w:jc w:val="center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  <w:lang w:eastAsia="ar-SA"/>
        </w:rPr>
        <w:t>на оказание услуг</w:t>
      </w:r>
    </w:p>
    <w:p w:rsidR="006118DA" w:rsidRPr="00773174" w:rsidRDefault="006118DA" w:rsidP="00773174">
      <w:pPr>
        <w:suppressAutoHyphens/>
        <w:jc w:val="center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</w:t>
      </w:r>
      <w:r w:rsidR="00FB280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773174">
        <w:rPr>
          <w:rFonts w:ascii="Times New Roman" w:hAnsi="Times New Roman"/>
          <w:sz w:val="18"/>
          <w:szCs w:val="18"/>
        </w:rPr>
        <w:t xml:space="preserve">                               ______________________2011 г.</w:t>
      </w:r>
    </w:p>
    <w:p w:rsidR="006118DA" w:rsidRPr="00773174" w:rsidRDefault="006118DA" w:rsidP="00773174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118DA" w:rsidRPr="00773174" w:rsidRDefault="006118DA" w:rsidP="00773174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73174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773174">
        <w:rPr>
          <w:rFonts w:ascii="Times New Roman" w:hAnsi="Times New Roman"/>
          <w:sz w:val="18"/>
          <w:szCs w:val="18"/>
        </w:rPr>
        <w:t xml:space="preserve"> (</w:t>
      </w:r>
      <w:r w:rsidRPr="00773174">
        <w:rPr>
          <w:rFonts w:ascii="Times New Roman" w:hAnsi="Times New Roman"/>
          <w:b/>
          <w:sz w:val="18"/>
          <w:szCs w:val="18"/>
        </w:rPr>
        <w:t>СГУПС),</w:t>
      </w:r>
      <w:r w:rsidRPr="00773174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 г., с одной стороны, и </w:t>
      </w:r>
      <w:r w:rsidRPr="00773174">
        <w:rPr>
          <w:rFonts w:ascii="Times New Roman" w:hAnsi="Times New Roman"/>
          <w:b/>
          <w:sz w:val="18"/>
          <w:szCs w:val="18"/>
        </w:rPr>
        <w:t xml:space="preserve"> __________</w:t>
      </w:r>
      <w:r w:rsidRPr="00773174">
        <w:rPr>
          <w:rFonts w:ascii="Times New Roman" w:hAnsi="Times New Roman"/>
          <w:sz w:val="18"/>
          <w:szCs w:val="18"/>
        </w:rPr>
        <w:t>,   именуемое в дальнейшем Исполнитель, в лице  ___________, действующего  на основании ____, с другой стороны, в результате размещения заказа в соответствии с Федеральным законом  от 21.07.2005г. №94-ФЗ путем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проведения запроса котировок цен,  на основании протокола № _________ рассмотрения и оценки котировочных заявок </w:t>
      </w:r>
      <w:proofErr w:type="gramStart"/>
      <w:r w:rsidRPr="00773174">
        <w:rPr>
          <w:rFonts w:ascii="Times New Roman" w:hAnsi="Times New Roman"/>
          <w:sz w:val="18"/>
          <w:szCs w:val="18"/>
        </w:rPr>
        <w:t>от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______, заключили </w:t>
      </w:r>
      <w:proofErr w:type="gramStart"/>
      <w:r w:rsidRPr="00773174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6118DA" w:rsidRPr="00773174" w:rsidRDefault="006118DA" w:rsidP="00773174">
      <w:pPr>
        <w:pStyle w:val="a7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118DA" w:rsidRPr="00FB2809" w:rsidRDefault="006118DA" w:rsidP="00773174">
      <w:pPr>
        <w:pStyle w:val="af6"/>
        <w:numPr>
          <w:ilvl w:val="0"/>
          <w:numId w:val="10"/>
        </w:numPr>
        <w:suppressAutoHyphens/>
        <w:ind w:left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>Предмет договор</w:t>
      </w:r>
    </w:p>
    <w:p w:rsidR="006118DA" w:rsidRPr="00773174" w:rsidRDefault="006118DA" w:rsidP="00773174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метрологической поверке (калибровке)  средств измерения (СИ), а Заказчик обязуется принять эти услуги и оплатить их стоимость. </w:t>
      </w:r>
    </w:p>
    <w:p w:rsidR="006118DA" w:rsidRPr="00773174" w:rsidRDefault="006118DA" w:rsidP="00773174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>1.2. Количество средств измерения, подлежащих метрологической поверке (калибровке), и сроки их проведения определяются графиком (Приложение №1), согласованным сторонами и являющимся неотъемлемой частью договора.</w:t>
      </w:r>
    </w:p>
    <w:p w:rsidR="006118DA" w:rsidRPr="00773174" w:rsidRDefault="006118DA" w:rsidP="00773174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>1.3. Перечень услуг и их стоимость предусмотрены Приложением №2,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6118DA" w:rsidRPr="00FB2809" w:rsidRDefault="006118DA" w:rsidP="00773174">
      <w:pPr>
        <w:pStyle w:val="21"/>
        <w:numPr>
          <w:ilvl w:val="0"/>
          <w:numId w:val="10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2.1. Цена договора определяется общей стоимостью услуг, оказываемых Исполнителем по настоящему договору, и составляет  _______ рублей (__________), в том числе НДС</w:t>
      </w:r>
      <w:proofErr w:type="gramStart"/>
      <w:r w:rsidRPr="00773174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2.2. Заказчик оплачивает  услуги  по каждому факту поверки (калибровки) СИ,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2.3. 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пошлин.</w:t>
      </w:r>
    </w:p>
    <w:p w:rsidR="006118DA" w:rsidRPr="00773174" w:rsidRDefault="006118DA" w:rsidP="00773174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2.4. Заказчик производит оплату услуг за счет средств федерального бюджета путем перечисления денежных средств на лицевой счет  Исполнителя.</w:t>
      </w:r>
    </w:p>
    <w:p w:rsidR="006118DA" w:rsidRPr="00773174" w:rsidRDefault="006118DA" w:rsidP="00FB2809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6118DA" w:rsidRPr="00773174" w:rsidRDefault="006118DA" w:rsidP="00773174">
      <w:pPr>
        <w:suppressAutoHyphens/>
        <w:autoSpaceDE w:val="0"/>
        <w:ind w:firstLine="45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оказать услуги, предусмотренные договором.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 и графиком оказания услуг.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3.2. Обязанности Заказчика: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произвести оплату оказанных услуг.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3.3.3. Заказчик обязан представлять СИ на поверку (калибровку) 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</w:t>
      </w:r>
      <w:r w:rsidRPr="00773174">
        <w:rPr>
          <w:rFonts w:ascii="Times New Roman" w:hAnsi="Times New Roman"/>
          <w:sz w:val="18"/>
          <w:szCs w:val="18"/>
        </w:rPr>
        <w:lastRenderedPageBreak/>
        <w:t>свидетельством о последней поверке,  сертификатом о калибровке,  а также необходимыми комплектующими устройствами (источники питания, кабели и др.) обеспечить доступ к месту оказания услуг.</w:t>
      </w:r>
    </w:p>
    <w:p w:rsidR="006118DA" w:rsidRPr="00773174" w:rsidRDefault="006118DA" w:rsidP="00FB2809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4. Порядок и срок оказания услуг  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4.1. Оказание услуг по поверке (калибровке) СИ производятся Исполнителем, как на технической базе Исполнителя, так и по месту нахождения Заказчика, в зависимости от вида СИ. Место проведения поверки (калибровки) СИ предусмотрено графиком оказания услуг (Приложение №1)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4.2. При проведении  поверки (калибровки)  на технической базе Исполнителя Заказчик самостоятельно доставляет СИ  к месту оказания услуг  в сроки, установленные графиком оказания услуг, и обратно. При этом получение СИ после оказания услуг представителем Заказчика производится на основании надлежащим образом оформленной доверенности.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4.3.При проведении  поверки (калибровки) 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4.4.Оказание услуг по договору производится в </w:t>
      </w:r>
      <w:proofErr w:type="gramStart"/>
      <w:r w:rsidRPr="0077317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с графиком (приложение №1), при этом срок осуществления  поверки (калибровки)  устанавливается – 10 рабочих дней со дня доставки СИ (при проведении  поверки (калибровки) по месту нахождения Исполнителя) или со дня, установленного графиком оказания услуг (при проведении поверки (калибровки) по месту нахождения Заказчика).  </w:t>
      </w:r>
    </w:p>
    <w:p w:rsidR="006118DA" w:rsidRPr="00773174" w:rsidRDefault="006118DA" w:rsidP="00FB2809">
      <w:pPr>
        <w:pStyle w:val="a7"/>
        <w:autoSpaceDE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4.5.Исполнитель проводит поверку  СИ Заказчика в соответствии с Правилами по метрологии: </w:t>
      </w:r>
      <w:proofErr w:type="gramStart"/>
      <w:r w:rsidRPr="00773174">
        <w:rPr>
          <w:rFonts w:ascii="Times New Roman" w:hAnsi="Times New Roman"/>
          <w:sz w:val="18"/>
          <w:szCs w:val="18"/>
        </w:rPr>
        <w:t>ПР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640,  калибровку СИ Заказчика в соответствии с Правилами по метрологии: </w:t>
      </w:r>
      <w:proofErr w:type="gramStart"/>
      <w:r w:rsidRPr="00773174">
        <w:rPr>
          <w:rFonts w:ascii="Times New Roman" w:hAnsi="Times New Roman"/>
          <w:sz w:val="18"/>
          <w:szCs w:val="18"/>
        </w:rPr>
        <w:t>ПР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50.2.016-94, зарегистрированными Минюстом РФ 24.01.95 г. №782.</w:t>
      </w:r>
    </w:p>
    <w:p w:rsidR="006118DA" w:rsidRPr="00773174" w:rsidRDefault="006118DA" w:rsidP="00FB2809">
      <w:pPr>
        <w:pStyle w:val="a7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      </w:t>
      </w:r>
      <w:r w:rsidRPr="00773174">
        <w:rPr>
          <w:rFonts w:ascii="Times New Roman" w:hAnsi="Times New Roman"/>
          <w:sz w:val="18"/>
          <w:szCs w:val="18"/>
        </w:rPr>
        <w:t xml:space="preserve"> 5.1.По факту оказания услуг  Исполнитель предоставляет Заказчику акт об оказании услуг, фактически оказанных Исполнителем  по условиям договора.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773174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118DA" w:rsidRPr="00773174" w:rsidRDefault="006118DA" w:rsidP="00773174">
      <w:pPr>
        <w:pStyle w:val="a7"/>
        <w:autoSpaceDE w:val="0"/>
        <w:spacing w:after="0"/>
        <w:rPr>
          <w:rFonts w:ascii="Times New Roman" w:hAnsi="Times New Roman"/>
          <w:sz w:val="18"/>
          <w:szCs w:val="18"/>
        </w:rPr>
      </w:pPr>
    </w:p>
    <w:p w:rsidR="006118DA" w:rsidRPr="00773174" w:rsidRDefault="006118DA" w:rsidP="00FB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6118DA" w:rsidRPr="00773174" w:rsidRDefault="006118DA" w:rsidP="00773174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п.4.4.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6.5. Исполнитель несет ответственность за переданные ему на поверку (калибровку) СИ. В случае утраты или повреждения СИ или его комплектующих частей Исполнитель возмещает Заказчику  стоимость утраченного СИ или ущерб, причиненный повреждением СИ.  </w:t>
      </w:r>
    </w:p>
    <w:p w:rsidR="006118DA" w:rsidRPr="00773174" w:rsidRDefault="006118DA" w:rsidP="00FB280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118DA" w:rsidRPr="00773174" w:rsidRDefault="006118DA" w:rsidP="00FB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6118DA" w:rsidRPr="00773174" w:rsidRDefault="006118DA" w:rsidP="00773174">
      <w:pPr>
        <w:pStyle w:val="a7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118DA" w:rsidRPr="00773174" w:rsidRDefault="006118DA" w:rsidP="00773174">
      <w:pPr>
        <w:suppressAutoHyphens/>
        <w:autoSpaceDE w:val="0"/>
        <w:ind w:firstLine="225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118DA" w:rsidRPr="00773174" w:rsidRDefault="006118DA" w:rsidP="00FB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773174">
        <w:rPr>
          <w:rFonts w:ascii="Times New Roman" w:hAnsi="Times New Roman"/>
          <w:sz w:val="18"/>
          <w:szCs w:val="18"/>
        </w:rPr>
        <w:t>дневный</w:t>
      </w:r>
      <w:proofErr w:type="spellEnd"/>
      <w:r w:rsidRPr="00773174">
        <w:rPr>
          <w:rFonts w:ascii="Times New Roman" w:hAnsi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6118DA" w:rsidRPr="00773174" w:rsidRDefault="006118DA" w:rsidP="00FB2809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6118DA" w:rsidRPr="00773174" w:rsidRDefault="006118DA" w:rsidP="00773174">
      <w:pPr>
        <w:suppressAutoHyphens/>
        <w:autoSpaceDE w:val="0"/>
        <w:ind w:firstLine="225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9.1. Срок действия договора: со дня его подписания сторонами до 31.12.2011г.</w:t>
      </w:r>
    </w:p>
    <w:p w:rsidR="006118DA" w:rsidRPr="00773174" w:rsidRDefault="006118DA" w:rsidP="00773174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118DA" w:rsidRPr="00773174" w:rsidRDefault="006118DA" w:rsidP="00773174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7731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6118DA" w:rsidRPr="00773174" w:rsidRDefault="006118DA" w:rsidP="00773174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118DA" w:rsidRPr="00773174" w:rsidRDefault="006118DA" w:rsidP="0077317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6118DA" w:rsidRPr="00773174" w:rsidTr="0062552A">
        <w:tc>
          <w:tcPr>
            <w:tcW w:w="5025" w:type="dxa"/>
          </w:tcPr>
          <w:p w:rsidR="006118DA" w:rsidRPr="00773174" w:rsidRDefault="006118DA" w:rsidP="00773174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630049 г</w:t>
            </w: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118DA" w:rsidRPr="00773174" w:rsidRDefault="006118DA" w:rsidP="00FB2809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  <w:r w:rsidR="00FB280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73174">
              <w:rPr>
                <w:rFonts w:ascii="Times New Roman" w:hAnsi="Times New Roman"/>
                <w:sz w:val="18"/>
                <w:szCs w:val="18"/>
              </w:rPr>
              <w:t>_______________   О.Ю.Васильев</w:t>
            </w:r>
          </w:p>
        </w:tc>
        <w:tc>
          <w:tcPr>
            <w:tcW w:w="4305" w:type="dxa"/>
          </w:tcPr>
          <w:p w:rsidR="006118DA" w:rsidRPr="00773174" w:rsidRDefault="006118DA" w:rsidP="00773174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6118DA" w:rsidRPr="00773174" w:rsidRDefault="006118DA" w:rsidP="0077317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18DA" w:rsidRPr="00773174" w:rsidRDefault="006118DA" w:rsidP="00FB280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118DA" w:rsidRPr="00773174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6FA443D1"/>
    <w:multiLevelType w:val="hybridMultilevel"/>
    <w:tmpl w:val="7C8EB59A"/>
    <w:lvl w:ilvl="0" w:tplc="B9AEE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4E9E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2A72"/>
    <w:rsid w:val="000C45C6"/>
    <w:rsid w:val="000E311A"/>
    <w:rsid w:val="000F4C73"/>
    <w:rsid w:val="001071C7"/>
    <w:rsid w:val="001216B3"/>
    <w:rsid w:val="0014462F"/>
    <w:rsid w:val="00160CE3"/>
    <w:rsid w:val="001960DD"/>
    <w:rsid w:val="001A35A5"/>
    <w:rsid w:val="001B01E5"/>
    <w:rsid w:val="001B5FA1"/>
    <w:rsid w:val="001D38A9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3F7D46"/>
    <w:rsid w:val="004246EA"/>
    <w:rsid w:val="00435B13"/>
    <w:rsid w:val="00442AC2"/>
    <w:rsid w:val="00455423"/>
    <w:rsid w:val="004578DA"/>
    <w:rsid w:val="0045797E"/>
    <w:rsid w:val="004627D3"/>
    <w:rsid w:val="004633E6"/>
    <w:rsid w:val="0047113C"/>
    <w:rsid w:val="0047116C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764E0"/>
    <w:rsid w:val="00580FB4"/>
    <w:rsid w:val="005A1408"/>
    <w:rsid w:val="005C579D"/>
    <w:rsid w:val="005D26AA"/>
    <w:rsid w:val="005E31F1"/>
    <w:rsid w:val="006118DA"/>
    <w:rsid w:val="00636F58"/>
    <w:rsid w:val="0063713D"/>
    <w:rsid w:val="00637D70"/>
    <w:rsid w:val="0065311E"/>
    <w:rsid w:val="00682A60"/>
    <w:rsid w:val="006A5DDB"/>
    <w:rsid w:val="006B010C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73174"/>
    <w:rsid w:val="007957A6"/>
    <w:rsid w:val="007C292B"/>
    <w:rsid w:val="007D2EC6"/>
    <w:rsid w:val="007D6AAC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E064C"/>
    <w:rsid w:val="009E28BB"/>
    <w:rsid w:val="00A00EF7"/>
    <w:rsid w:val="00A07199"/>
    <w:rsid w:val="00A4578A"/>
    <w:rsid w:val="00A71F7D"/>
    <w:rsid w:val="00A8252F"/>
    <w:rsid w:val="00A93654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DE62E3"/>
    <w:rsid w:val="00E11D6E"/>
    <w:rsid w:val="00E12D60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2F67"/>
    <w:rsid w:val="00EC7B03"/>
    <w:rsid w:val="00EE2CC1"/>
    <w:rsid w:val="00EE5D78"/>
    <w:rsid w:val="00EF7367"/>
    <w:rsid w:val="00F23B91"/>
    <w:rsid w:val="00F2500A"/>
    <w:rsid w:val="00FB12AB"/>
    <w:rsid w:val="00FB2809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73174"/>
    <w:pPr>
      <w:keepNext/>
      <w:ind w:firstLine="684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link w:val="a8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9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f">
    <w:name w:val="header"/>
    <w:basedOn w:val="a"/>
    <w:link w:val="af0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0FB4"/>
    <w:rPr>
      <w:sz w:val="24"/>
      <w:szCs w:val="24"/>
    </w:rPr>
  </w:style>
  <w:style w:type="character" w:styleId="af1">
    <w:name w:val="page number"/>
    <w:basedOn w:val="a0"/>
    <w:rsid w:val="00580FB4"/>
  </w:style>
  <w:style w:type="paragraph" w:styleId="af2">
    <w:name w:val="footer"/>
    <w:basedOn w:val="a"/>
    <w:link w:val="af3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80FB4"/>
    <w:rPr>
      <w:sz w:val="24"/>
      <w:szCs w:val="24"/>
    </w:rPr>
  </w:style>
  <w:style w:type="paragraph" w:styleId="af4">
    <w:name w:val="Body Text Indent"/>
    <w:basedOn w:val="a"/>
    <w:link w:val="af5"/>
    <w:rsid w:val="009A618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6">
    <w:name w:val="List Paragraph"/>
    <w:basedOn w:val="a"/>
    <w:uiPriority w:val="34"/>
    <w:qFormat/>
    <w:rsid w:val="000548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18DA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6118DA"/>
    <w:rPr>
      <w:rFonts w:ascii="Times New Roman CYR" w:hAnsi="Times New Roman CYR"/>
    </w:rPr>
  </w:style>
  <w:style w:type="character" w:customStyle="1" w:styleId="60">
    <w:name w:val="Заголовок 6 Знак"/>
    <w:basedOn w:val="a0"/>
    <w:link w:val="6"/>
    <w:rsid w:val="007731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ko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22362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18</cp:revision>
  <cp:lastPrinted>2011-03-21T05:40:00Z</cp:lastPrinted>
  <dcterms:created xsi:type="dcterms:W3CDTF">2011-03-18T05:25:00Z</dcterms:created>
  <dcterms:modified xsi:type="dcterms:W3CDTF">2011-04-25T03:32:00Z</dcterms:modified>
</cp:coreProperties>
</file>