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971238" w:rsidRDefault="0082232C" w:rsidP="00971238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Приложения:</w:t>
      </w:r>
    </w:p>
    <w:p w:rsidR="0082232C" w:rsidRPr="00971238" w:rsidRDefault="0082232C" w:rsidP="0097123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71238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82232C" w:rsidRPr="00971238" w:rsidRDefault="0082232C" w:rsidP="0097123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71238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82232C" w:rsidRPr="00971238" w:rsidRDefault="0082232C" w:rsidP="0097123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71238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82232C" w:rsidRPr="00971238" w:rsidRDefault="0082232C" w:rsidP="00971238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82232C" w:rsidRPr="00971238" w:rsidRDefault="0082232C" w:rsidP="00971238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Приложение 1</w:t>
      </w:r>
    </w:p>
    <w:p w:rsidR="0082232C" w:rsidRPr="00971238" w:rsidRDefault="0082232C" w:rsidP="00971238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Котировочная заявка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971238">
        <w:rPr>
          <w:rFonts w:ascii="Times New Roman" w:hAnsi="Times New Roman"/>
          <w:sz w:val="17"/>
          <w:szCs w:val="17"/>
        </w:rPr>
        <w:t>на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971238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71238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gram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71238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71238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случае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71238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извещении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71238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val="en-US" w:eastAsia="en-US"/>
              </w:rPr>
              <w:t>5</w:t>
            </w:r>
          </w:p>
          <w:p w:rsidR="0082232C" w:rsidRPr="00971238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71238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</w:tbl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82232C" w:rsidRPr="00971238" w:rsidRDefault="0082232C" w:rsidP="00971238">
      <w:pPr>
        <w:jc w:val="center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М.П.</w:t>
      </w:r>
    </w:p>
    <w:p w:rsidR="0082232C" w:rsidRPr="00971238" w:rsidRDefault="0082232C" w:rsidP="00971238">
      <w:pPr>
        <w:rPr>
          <w:rFonts w:ascii="Times New Roman" w:hAnsi="Times New Roman"/>
          <w:sz w:val="17"/>
          <w:szCs w:val="17"/>
        </w:rPr>
      </w:pPr>
    </w:p>
    <w:p w:rsidR="0082232C" w:rsidRPr="00971238" w:rsidRDefault="0082232C" w:rsidP="009712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82232C" w:rsidRPr="00971238" w:rsidRDefault="0082232C" w:rsidP="009712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82232C" w:rsidRPr="00971238" w:rsidRDefault="0082232C" w:rsidP="009712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82232C" w:rsidRPr="00971238" w:rsidRDefault="0082232C" w:rsidP="0097123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- КПП</w:t>
      </w:r>
    </w:p>
    <w:p w:rsidR="0082232C" w:rsidRPr="00971238" w:rsidRDefault="0082232C" w:rsidP="00971238">
      <w:pPr>
        <w:rPr>
          <w:rFonts w:ascii="Times New Roman" w:hAnsi="Times New Roman"/>
          <w:b/>
          <w:sz w:val="17"/>
          <w:szCs w:val="17"/>
        </w:rPr>
      </w:pPr>
    </w:p>
    <w:p w:rsidR="0082232C" w:rsidRPr="00971238" w:rsidRDefault="0082232C" w:rsidP="00971238">
      <w:pPr>
        <w:ind w:firstLine="284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Приложение №2</w:t>
      </w:r>
    </w:p>
    <w:p w:rsidR="0082232C" w:rsidRPr="00971238" w:rsidRDefault="0082232C" w:rsidP="00971238">
      <w:pPr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82232C" w:rsidRPr="00971238" w:rsidRDefault="0082232C" w:rsidP="00971238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971238">
        <w:rPr>
          <w:rFonts w:ascii="Times New Roman" w:hAnsi="Times New Roman"/>
          <w:bCs/>
          <w:sz w:val="17"/>
          <w:szCs w:val="17"/>
        </w:rPr>
        <w:t>Наименование</w:t>
      </w:r>
      <w:r w:rsidRPr="00971238">
        <w:rPr>
          <w:rFonts w:ascii="Times New Roman" w:hAnsi="Times New Roman"/>
          <w:sz w:val="17"/>
          <w:szCs w:val="17"/>
        </w:rPr>
        <w:t xml:space="preserve">: </w:t>
      </w:r>
      <w:r w:rsidR="00AF5692" w:rsidRPr="00971238">
        <w:rPr>
          <w:rFonts w:ascii="Times New Roman" w:hAnsi="Times New Roman"/>
          <w:sz w:val="17"/>
          <w:szCs w:val="17"/>
        </w:rPr>
        <w:t xml:space="preserve">поставка </w:t>
      </w:r>
      <w:r w:rsidR="00195A7E" w:rsidRPr="00971238">
        <w:rPr>
          <w:rFonts w:ascii="Times New Roman" w:hAnsi="Times New Roman"/>
          <w:sz w:val="17"/>
          <w:szCs w:val="17"/>
        </w:rPr>
        <w:t>переключателей кнопочных для</w:t>
      </w:r>
      <w:r w:rsidRPr="00971238">
        <w:rPr>
          <w:rFonts w:ascii="Times New Roman" w:hAnsi="Times New Roman"/>
          <w:sz w:val="17"/>
          <w:szCs w:val="17"/>
        </w:rPr>
        <w:t xml:space="preserve"> СГУПС</w:t>
      </w:r>
    </w:p>
    <w:p w:rsidR="0082232C" w:rsidRPr="00971238" w:rsidRDefault="0082232C" w:rsidP="00971238">
      <w:pPr>
        <w:ind w:firstLine="284"/>
        <w:rPr>
          <w:rFonts w:ascii="Times New Roman" w:hAnsi="Times New Roman"/>
          <w:b/>
          <w:sz w:val="17"/>
          <w:szCs w:val="17"/>
        </w:rPr>
      </w:pPr>
    </w:p>
    <w:p w:rsidR="0082232C" w:rsidRPr="00971238" w:rsidRDefault="0082232C" w:rsidP="00971238">
      <w:pPr>
        <w:ind w:firstLine="284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971238" w:rsidRDefault="0082232C" w:rsidP="00971238">
      <w:pPr>
        <w:pStyle w:val="a5"/>
        <w:tabs>
          <w:tab w:val="left" w:pos="708"/>
        </w:tabs>
        <w:ind w:left="0" w:firstLine="284"/>
        <w:jc w:val="left"/>
        <w:rPr>
          <w:b/>
          <w:bCs/>
          <w:sz w:val="17"/>
          <w:szCs w:val="17"/>
        </w:rPr>
      </w:pPr>
      <w:r w:rsidRPr="00971238">
        <w:rPr>
          <w:sz w:val="17"/>
          <w:szCs w:val="17"/>
        </w:rPr>
        <w:t xml:space="preserve">Начальная цена договора  составляет: </w:t>
      </w:r>
      <w:r w:rsidR="00195A7E" w:rsidRPr="00971238">
        <w:rPr>
          <w:b/>
          <w:sz w:val="17"/>
          <w:szCs w:val="17"/>
        </w:rPr>
        <w:t>469 458</w:t>
      </w:r>
      <w:r w:rsidRPr="00971238">
        <w:rPr>
          <w:b/>
          <w:sz w:val="17"/>
          <w:szCs w:val="17"/>
        </w:rPr>
        <w:t>,</w:t>
      </w:r>
      <w:r w:rsidR="00E5050A" w:rsidRPr="00971238">
        <w:rPr>
          <w:b/>
          <w:sz w:val="17"/>
          <w:szCs w:val="17"/>
        </w:rPr>
        <w:t>0</w:t>
      </w:r>
      <w:r w:rsidRPr="00971238">
        <w:rPr>
          <w:b/>
          <w:sz w:val="17"/>
          <w:szCs w:val="17"/>
        </w:rPr>
        <w:t xml:space="preserve">0 </w:t>
      </w:r>
      <w:r w:rsidRPr="00971238">
        <w:rPr>
          <w:b/>
          <w:bCs/>
          <w:sz w:val="17"/>
          <w:szCs w:val="17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971238" w:rsidTr="00940FD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971238" w:rsidRDefault="0082232C" w:rsidP="00971238">
            <w:pPr>
              <w:snapToGrid w:val="0"/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№</w:t>
            </w:r>
          </w:p>
          <w:p w:rsidR="0082232C" w:rsidRPr="00971238" w:rsidRDefault="0082232C" w:rsidP="00971238">
            <w:pPr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971238" w:rsidRDefault="0082232C" w:rsidP="00971238">
            <w:pPr>
              <w:snapToGrid w:val="0"/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документа </w:t>
            </w:r>
          </w:p>
          <w:p w:rsidR="0082232C" w:rsidRPr="00971238" w:rsidRDefault="0082232C" w:rsidP="00971238">
            <w:pPr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др</w:t>
            </w:r>
            <w:proofErr w:type="spellEnd"/>
            <w:proofErr w:type="gramEnd"/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971238" w:rsidRDefault="0082232C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Цена договора, руб.</w:t>
            </w:r>
          </w:p>
        </w:tc>
      </w:tr>
      <w:tr w:rsidR="00E5050A" w:rsidRPr="00971238" w:rsidTr="00940FD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71238" w:rsidRDefault="00E5050A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71238" w:rsidRDefault="00195A7E" w:rsidP="00971238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Счет от 26.04.2012г.  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</w:rPr>
              <w:t>Камышловский</w:t>
            </w:r>
            <w:proofErr w:type="spell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</w:rPr>
              <w:t>ЭТЗ-филиал</w:t>
            </w:r>
            <w:proofErr w:type="spell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ОАО «Объединенные электротехнические заводы»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50A" w:rsidRPr="00971238" w:rsidRDefault="00195A7E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469 458,00</w:t>
            </w:r>
          </w:p>
        </w:tc>
      </w:tr>
      <w:tr w:rsidR="00E5050A" w:rsidRPr="00971238" w:rsidTr="00940F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71238" w:rsidRDefault="00E5050A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71238" w:rsidRDefault="00E5050A" w:rsidP="00971238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50A" w:rsidRPr="00971238" w:rsidRDefault="00E5050A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232C" w:rsidRPr="00971238" w:rsidTr="00940F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971238" w:rsidRDefault="0082232C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971238" w:rsidRDefault="00AE6840" w:rsidP="00971238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Сред</w:t>
            </w:r>
            <w:r w:rsidR="00195A7E" w:rsidRPr="00971238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няя</w:t>
            </w:r>
            <w:r w:rsidRPr="00971238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="0082232C" w:rsidRPr="00971238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 xml:space="preserve">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971238" w:rsidRDefault="00195A7E" w:rsidP="009712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971238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469 458</w:t>
            </w:r>
            <w:r w:rsidR="00E5050A" w:rsidRPr="00971238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,00</w:t>
            </w:r>
          </w:p>
        </w:tc>
      </w:tr>
    </w:tbl>
    <w:p w:rsidR="0082232C" w:rsidRPr="00971238" w:rsidRDefault="0082232C" w:rsidP="0097123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AB627A" w:rsidRPr="00971238" w:rsidRDefault="00AB627A" w:rsidP="00971238">
      <w:pPr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 xml:space="preserve">задание по предмету закупки: </w:t>
      </w:r>
    </w:p>
    <w:p w:rsidR="00AF5692" w:rsidRPr="00971238" w:rsidRDefault="00AF5692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</w:p>
    <w:tbl>
      <w:tblPr>
        <w:tblW w:w="11341" w:type="dxa"/>
        <w:tblInd w:w="-176" w:type="dxa"/>
        <w:tblLook w:val="0000"/>
      </w:tblPr>
      <w:tblGrid>
        <w:gridCol w:w="560"/>
        <w:gridCol w:w="8938"/>
        <w:gridCol w:w="900"/>
        <w:gridCol w:w="943"/>
      </w:tblGrid>
      <w:tr w:rsidR="00195A7E" w:rsidRPr="00971238" w:rsidTr="00195A7E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971238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195A7E" w:rsidRPr="00971238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>Кнопка малогабаритная двухпозиционная с фиксацией</w:t>
            </w:r>
          </w:p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Фиксация в нажатом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положении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>, возврат в исходное положение путем подъема головки.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(серебро) – не более 0,02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напряжении60 В или переменном напряжении 127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  <w:r w:rsidRPr="00971238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195A7E" w:rsidRPr="00971238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Кнопка малогабаритная двухпозиционная с фиксацией пломбируемая </w:t>
            </w:r>
          </w:p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Фиксация в нажатом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положении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>, возврат в исходное положение путем подъема головки.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Наличие быстросъемной пломбировки, исключающей возможность нажатия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– не более 0,02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val="en-US"/>
              </w:rPr>
              <w:t>190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195A7E" w:rsidRPr="00971238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>Кнопка малогабаритная двухпозиционная без фиксации</w:t>
            </w:r>
          </w:p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lastRenderedPageBreak/>
              <w:t>Число переключающих контактов не менее 1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– не более 0,02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71238">
              <w:rPr>
                <w:rFonts w:ascii="Times New Roman" w:hAnsi="Times New Roman"/>
                <w:sz w:val="17"/>
                <w:szCs w:val="17"/>
                <w:lang w:val="en-US"/>
              </w:rPr>
              <w:lastRenderedPageBreak/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195A7E" w:rsidRPr="00971238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lastRenderedPageBreak/>
              <w:t>4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>Кнопка малогабаритная двухпозиционная без фиксации пломбируемая</w:t>
            </w:r>
          </w:p>
          <w:p w:rsidR="00195A7E" w:rsidRPr="00971238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71238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Наличие быстросъемной пломбировки, исключающей возможность нажатия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– не более 0,02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71238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71238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712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71238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71238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71238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</w:tbl>
    <w:p w:rsidR="00AF5692" w:rsidRPr="00971238" w:rsidRDefault="00195A7E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Кнопки являются комплектующими тренажерных комплексов оперативного персонала сортировочной горки (используются на железной дороге)</w:t>
      </w:r>
    </w:p>
    <w:p w:rsidR="00195A7E" w:rsidRPr="00971238" w:rsidRDefault="00195A7E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</w:p>
    <w:p w:rsidR="00AB627A" w:rsidRPr="00971238" w:rsidRDefault="0082232C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Приложение №3</w:t>
      </w:r>
    </w:p>
    <w:p w:rsidR="00971238" w:rsidRPr="00971238" w:rsidRDefault="00971238" w:rsidP="00971238">
      <w:pPr>
        <w:pStyle w:val="1"/>
        <w:jc w:val="center"/>
        <w:rPr>
          <w:sz w:val="17"/>
          <w:szCs w:val="17"/>
        </w:rPr>
      </w:pPr>
      <w:r w:rsidRPr="00971238">
        <w:rPr>
          <w:sz w:val="17"/>
          <w:szCs w:val="17"/>
        </w:rPr>
        <w:t>ДОГОВОР № _____</w:t>
      </w:r>
    </w:p>
    <w:p w:rsidR="00971238" w:rsidRPr="00971238" w:rsidRDefault="00971238" w:rsidP="00971238">
      <w:pPr>
        <w:jc w:val="center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на поставку товаров</w:t>
      </w:r>
    </w:p>
    <w:p w:rsidR="00971238" w:rsidRPr="00971238" w:rsidRDefault="00971238" w:rsidP="00971238">
      <w:pPr>
        <w:jc w:val="center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                                                                                               «___»  __________ 2012г.</w:t>
      </w:r>
    </w:p>
    <w:p w:rsidR="00971238" w:rsidRPr="00971238" w:rsidRDefault="00971238" w:rsidP="00971238">
      <w:pPr>
        <w:jc w:val="both"/>
        <w:rPr>
          <w:rFonts w:ascii="Times New Roman" w:hAnsi="Times New Roman"/>
          <w:b/>
          <w:sz w:val="17"/>
          <w:szCs w:val="17"/>
        </w:rPr>
      </w:pPr>
    </w:p>
    <w:p w:rsidR="00971238" w:rsidRPr="00971238" w:rsidRDefault="00971238" w:rsidP="00971238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971238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71238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проректора </w:t>
      </w:r>
      <w:proofErr w:type="spellStart"/>
      <w:r w:rsidRPr="00971238">
        <w:rPr>
          <w:rFonts w:ascii="Times New Roman" w:hAnsi="Times New Roman"/>
          <w:sz w:val="17"/>
          <w:szCs w:val="17"/>
        </w:rPr>
        <w:t>Бокарева</w:t>
      </w:r>
      <w:proofErr w:type="spellEnd"/>
      <w:r w:rsidRPr="00971238">
        <w:rPr>
          <w:rFonts w:ascii="Times New Roman" w:hAnsi="Times New Roman"/>
          <w:sz w:val="17"/>
          <w:szCs w:val="17"/>
        </w:rPr>
        <w:t xml:space="preserve"> Сергея Александровича, действующего на основании доверенности № 64 от 01.09.2011г., с одной стороны, и </w:t>
      </w:r>
      <w:r w:rsidRPr="00971238">
        <w:rPr>
          <w:rFonts w:ascii="Times New Roman" w:hAnsi="Times New Roman"/>
          <w:b/>
          <w:sz w:val="17"/>
          <w:szCs w:val="17"/>
        </w:rPr>
        <w:t xml:space="preserve"> _________</w:t>
      </w:r>
      <w:r w:rsidRPr="00971238">
        <w:rPr>
          <w:rFonts w:ascii="Times New Roman" w:hAnsi="Times New Roman"/>
          <w:sz w:val="17"/>
          <w:szCs w:val="17"/>
        </w:rPr>
        <w:t>, именуемое в дальнейшем Поставщик, в лице  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Федеральным законом №94-ФЗ от 21.07.2005г, на основании протокола  рассмотрения и оценки котировочных заявок №_________ от _________.,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71238" w:rsidRPr="00971238" w:rsidRDefault="00971238" w:rsidP="00971238">
      <w:pPr>
        <w:pStyle w:val="a3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971238" w:rsidRPr="00971238" w:rsidRDefault="00971238" w:rsidP="00971238">
      <w:pPr>
        <w:jc w:val="center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971238" w:rsidRPr="00971238" w:rsidRDefault="00971238" w:rsidP="0097123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переключателей кнопочных, а Заказчик обязуется принять товар и оплатить его стоимость. </w:t>
      </w:r>
    </w:p>
    <w:p w:rsidR="00971238" w:rsidRPr="00971238" w:rsidRDefault="00971238" w:rsidP="0097123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1.2.Поставщик поставляет Заказчику в </w:t>
      </w:r>
      <w:proofErr w:type="gramStart"/>
      <w:r w:rsidRPr="00971238">
        <w:rPr>
          <w:rFonts w:ascii="Times New Roman" w:hAnsi="Times New Roman"/>
          <w:sz w:val="17"/>
          <w:szCs w:val="17"/>
        </w:rPr>
        <w:t>качестве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комплектующего оборудования для создания </w:t>
      </w:r>
      <w:proofErr w:type="spellStart"/>
      <w:r w:rsidRPr="00971238">
        <w:rPr>
          <w:rFonts w:ascii="Times New Roman" w:hAnsi="Times New Roman"/>
          <w:sz w:val="17"/>
          <w:szCs w:val="17"/>
        </w:rPr>
        <w:t>компьютерно-проекционных</w:t>
      </w:r>
      <w:proofErr w:type="spellEnd"/>
      <w:r w:rsidRPr="00971238">
        <w:rPr>
          <w:rFonts w:ascii="Times New Roman" w:hAnsi="Times New Roman"/>
          <w:sz w:val="17"/>
          <w:szCs w:val="17"/>
        </w:rPr>
        <w:t xml:space="preserve"> станций тренажеров горочного комплекса  переключатели кнопочные различных модификаций:</w:t>
      </w:r>
    </w:p>
    <w:p w:rsidR="00971238" w:rsidRPr="00971238" w:rsidRDefault="00971238" w:rsidP="0097123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-кнопка малогабаритная двухпозиционная с фиксацией (КМДФ) в </w:t>
      </w:r>
      <w:proofErr w:type="gramStart"/>
      <w:r w:rsidRPr="00971238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215 шт.</w:t>
      </w:r>
    </w:p>
    <w:p w:rsidR="00971238" w:rsidRPr="00971238" w:rsidRDefault="00971238" w:rsidP="0097123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-кнопка малогабаритная двухпозиционная с фиксацией пломбируемая (КМДФП) в </w:t>
      </w:r>
      <w:proofErr w:type="gramStart"/>
      <w:r w:rsidRPr="00971238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190 шт.</w:t>
      </w:r>
    </w:p>
    <w:p w:rsidR="00971238" w:rsidRPr="00971238" w:rsidRDefault="00971238" w:rsidP="0097123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-кнопка малогабаритная двухпозиционная без фиксации (КМД) в </w:t>
      </w:r>
      <w:proofErr w:type="gramStart"/>
      <w:r w:rsidRPr="00971238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200 шт.</w:t>
      </w:r>
    </w:p>
    <w:p w:rsidR="00971238" w:rsidRPr="00971238" w:rsidRDefault="00971238" w:rsidP="0097123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-кнопка малогабаритная двухпозиционная без фиксации пломбируемая (КМДП) в </w:t>
      </w:r>
      <w:proofErr w:type="gramStart"/>
      <w:r w:rsidRPr="00971238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5 шт.</w:t>
      </w:r>
    </w:p>
    <w:p w:rsidR="00971238" w:rsidRPr="00971238" w:rsidRDefault="00971238" w:rsidP="00971238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1.3. Наименование, характеристики и цена поставляемых переключателей кнопочных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ab/>
      </w:r>
    </w:p>
    <w:p w:rsidR="00971238" w:rsidRPr="00971238" w:rsidRDefault="00971238" w:rsidP="00971238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17"/>
          <w:szCs w:val="17"/>
        </w:rPr>
      </w:pPr>
      <w:r w:rsidRPr="00971238">
        <w:rPr>
          <w:b/>
          <w:sz w:val="17"/>
          <w:szCs w:val="17"/>
        </w:rPr>
        <w:t>2.Цена  договора и порядок оплаты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 2.1. Цена договора определяется общей стоимостью товара,   поставляемого по  договору, и составляет</w:t>
      </w:r>
      <w:proofErr w:type="gramStart"/>
      <w:r w:rsidRPr="00971238">
        <w:rPr>
          <w:sz w:val="17"/>
          <w:szCs w:val="17"/>
        </w:rPr>
        <w:t xml:space="preserve">  ____________ (_________), </w:t>
      </w:r>
      <w:proofErr w:type="gramEnd"/>
      <w:r w:rsidRPr="00971238">
        <w:rPr>
          <w:sz w:val="17"/>
          <w:szCs w:val="17"/>
        </w:rPr>
        <w:t>в том числе (или без)  НДС.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971238" w:rsidRPr="00971238" w:rsidRDefault="00971238" w:rsidP="0097123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71238">
        <w:rPr>
          <w:rFonts w:ascii="Times New Roman" w:hAnsi="Times New Roman"/>
          <w:sz w:val="17"/>
          <w:szCs w:val="17"/>
        </w:rPr>
        <w:t>порядке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971238" w:rsidRPr="00971238" w:rsidRDefault="00971238" w:rsidP="0097123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971238" w:rsidRPr="00971238" w:rsidRDefault="00971238" w:rsidP="009712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971238" w:rsidRPr="00971238" w:rsidRDefault="00971238" w:rsidP="00971238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971238" w:rsidRPr="00971238" w:rsidRDefault="00971238" w:rsidP="0097123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3.1.1. </w:t>
      </w:r>
      <w:proofErr w:type="gramStart"/>
      <w:r w:rsidRPr="00971238">
        <w:rPr>
          <w:rFonts w:ascii="Times New Roman" w:hAnsi="Times New Roman"/>
          <w:sz w:val="17"/>
          <w:szCs w:val="17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971238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971238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условиях настоящего контракта. 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971238" w:rsidRPr="00971238" w:rsidRDefault="00971238" w:rsidP="00971238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971238" w:rsidRPr="00971238" w:rsidRDefault="00971238" w:rsidP="009712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971238" w:rsidRPr="00971238" w:rsidRDefault="00971238" w:rsidP="0097123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на материальный склад  Заказчика в течение 45 (сорока пяти) календарных дней со дня заключения договора.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lastRenderedPageBreak/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971238" w:rsidRPr="00971238" w:rsidRDefault="00971238" w:rsidP="00971238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971238" w:rsidRPr="00971238" w:rsidRDefault="00971238" w:rsidP="00971238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971238" w:rsidRPr="00971238" w:rsidRDefault="00971238" w:rsidP="00971238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971238">
        <w:rPr>
          <w:rFonts w:ascii="Times New Roman" w:hAnsi="Times New Roman"/>
          <w:sz w:val="17"/>
          <w:szCs w:val="17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4.7. Поставщик обязан предоставлять Заказчику вместе с товаром следующие документы:</w:t>
      </w:r>
    </w:p>
    <w:p w:rsidR="00971238" w:rsidRPr="00971238" w:rsidRDefault="00971238" w:rsidP="0097123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971238" w:rsidRPr="00971238" w:rsidRDefault="00971238" w:rsidP="0097123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971238" w:rsidRPr="00971238" w:rsidRDefault="00971238" w:rsidP="0097123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971238" w:rsidRPr="00971238" w:rsidRDefault="00971238" w:rsidP="0097123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971238" w:rsidRPr="00971238" w:rsidRDefault="00971238" w:rsidP="0097123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971238">
        <w:rPr>
          <w:rFonts w:ascii="Times New Roman" w:hAnsi="Times New Roman"/>
          <w:sz w:val="17"/>
          <w:szCs w:val="17"/>
        </w:rPr>
        <w:t>нем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недостатков.</w:t>
      </w:r>
    </w:p>
    <w:p w:rsidR="00971238" w:rsidRPr="00971238" w:rsidRDefault="00971238" w:rsidP="00971238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971238" w:rsidRPr="00971238" w:rsidRDefault="00971238" w:rsidP="00971238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71238">
        <w:rPr>
          <w:b/>
          <w:sz w:val="17"/>
          <w:szCs w:val="17"/>
        </w:rPr>
        <w:t>5. Ответственность сторон</w:t>
      </w:r>
    </w:p>
    <w:p w:rsidR="00971238" w:rsidRPr="00971238" w:rsidRDefault="00971238" w:rsidP="0097123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71238" w:rsidRPr="00971238" w:rsidRDefault="00971238" w:rsidP="00971238">
      <w:pPr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71238">
        <w:rPr>
          <w:sz w:val="17"/>
          <w:szCs w:val="17"/>
        </w:rPr>
        <w:t>объеме</w:t>
      </w:r>
      <w:proofErr w:type="gramEnd"/>
      <w:r w:rsidRPr="00971238">
        <w:rPr>
          <w:sz w:val="17"/>
          <w:szCs w:val="17"/>
        </w:rPr>
        <w:t xml:space="preserve">. 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</w:p>
    <w:p w:rsidR="00971238" w:rsidRPr="00971238" w:rsidRDefault="00971238" w:rsidP="00971238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71238">
        <w:rPr>
          <w:b/>
          <w:sz w:val="17"/>
          <w:szCs w:val="17"/>
        </w:rPr>
        <w:t>6. Обстоятельства непреодолимой силы</w:t>
      </w:r>
    </w:p>
    <w:p w:rsidR="00971238" w:rsidRPr="00971238" w:rsidRDefault="00971238" w:rsidP="00971238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971238" w:rsidRPr="00971238" w:rsidRDefault="00971238" w:rsidP="0097123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b/>
          <w:sz w:val="17"/>
          <w:szCs w:val="17"/>
        </w:rPr>
      </w:pPr>
    </w:p>
    <w:p w:rsidR="00971238" w:rsidRPr="00971238" w:rsidRDefault="00971238" w:rsidP="00971238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71238">
        <w:rPr>
          <w:b/>
          <w:sz w:val="17"/>
          <w:szCs w:val="17"/>
        </w:rPr>
        <w:t>7. Порядок разрешения споров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71238">
        <w:rPr>
          <w:sz w:val="17"/>
          <w:szCs w:val="17"/>
        </w:rPr>
        <w:t>порядке</w:t>
      </w:r>
      <w:proofErr w:type="gramEnd"/>
      <w:r w:rsidRPr="00971238">
        <w:rPr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</w:p>
    <w:p w:rsidR="00971238" w:rsidRPr="00971238" w:rsidRDefault="00971238" w:rsidP="009712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971238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971238" w:rsidRPr="00971238" w:rsidRDefault="00971238" w:rsidP="0097123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971238" w:rsidRPr="00971238" w:rsidRDefault="00971238" w:rsidP="0097123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71238" w:rsidRPr="00971238" w:rsidRDefault="00971238" w:rsidP="0097123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971238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971238">
        <w:rPr>
          <w:rFonts w:ascii="Times New Roman" w:hAnsi="Times New Roman"/>
          <w:sz w:val="17"/>
          <w:szCs w:val="17"/>
        </w:rPr>
        <w:t>договор</w:t>
      </w:r>
      <w:proofErr w:type="gramEnd"/>
      <w:r w:rsidRPr="00971238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1238" w:rsidRPr="00971238" w:rsidRDefault="00971238" w:rsidP="00971238">
      <w:pPr>
        <w:pStyle w:val="2"/>
        <w:spacing w:after="0" w:line="240" w:lineRule="auto"/>
        <w:ind w:left="0"/>
        <w:rPr>
          <w:sz w:val="17"/>
          <w:szCs w:val="17"/>
        </w:rPr>
      </w:pPr>
      <w:r w:rsidRPr="00971238">
        <w:rPr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71238" w:rsidRPr="00971238" w:rsidRDefault="00971238" w:rsidP="00971238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71238">
        <w:rPr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4A0"/>
      </w:tblPr>
      <w:tblGrid>
        <w:gridCol w:w="4923"/>
        <w:gridCol w:w="5040"/>
      </w:tblGrid>
      <w:tr w:rsidR="00971238" w:rsidRPr="00971238" w:rsidTr="00971238">
        <w:tc>
          <w:tcPr>
            <w:tcW w:w="4923" w:type="dxa"/>
          </w:tcPr>
          <w:p w:rsidR="00971238" w:rsidRPr="00971238" w:rsidRDefault="00971238" w:rsidP="00971238">
            <w:pPr>
              <w:pStyle w:val="2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971238">
              <w:rPr>
                <w:sz w:val="17"/>
                <w:szCs w:val="17"/>
              </w:rPr>
              <w:t>Заказчик: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b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b/>
                <w:kern w:val="2"/>
                <w:sz w:val="17"/>
                <w:szCs w:val="17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630049г</w:t>
            </w:r>
            <w:proofErr w:type="gramStart"/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.Н</w:t>
            </w:r>
            <w:proofErr w:type="gramEnd"/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 xml:space="preserve">овосибирск,49ул.Д.Ковальчук д.191, 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ИНН: 5402113155 КПП 540201001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ОКОНХ 92110     ОКПО 01115969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Получатель: УФК по Новосибирской области (СГУПС л/с 20516Х3890)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БИК 045004001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Банк: ГРКЦ ГУ Банка России по Новосибирской обл. г</w:t>
            </w:r>
            <w:proofErr w:type="gramStart"/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.Н</w:t>
            </w:r>
            <w:proofErr w:type="gramEnd"/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овосибирск</w:t>
            </w:r>
          </w:p>
          <w:p w:rsidR="00971238" w:rsidRPr="00971238" w:rsidRDefault="00971238" w:rsidP="00971238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71238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Расчетный счет   40501810700042000002</w:t>
            </w:r>
          </w:p>
          <w:p w:rsidR="00971238" w:rsidRPr="00971238" w:rsidRDefault="00971238" w:rsidP="0097123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71238" w:rsidRPr="00971238" w:rsidRDefault="00971238" w:rsidP="00971238">
            <w:pPr>
              <w:rPr>
                <w:rFonts w:ascii="Times New Roman" w:hAnsi="Times New Roman"/>
                <w:sz w:val="17"/>
                <w:szCs w:val="17"/>
              </w:rPr>
            </w:pPr>
            <w:r w:rsidRPr="00971238">
              <w:rPr>
                <w:rFonts w:ascii="Times New Roman" w:hAnsi="Times New Roman"/>
                <w:sz w:val="17"/>
                <w:szCs w:val="17"/>
              </w:rPr>
              <w:t>Проректор</w:t>
            </w:r>
          </w:p>
          <w:p w:rsidR="00971238" w:rsidRPr="00971238" w:rsidRDefault="00971238" w:rsidP="0097123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71238" w:rsidRPr="00971238" w:rsidRDefault="00971238" w:rsidP="00971238">
            <w:pPr>
              <w:pStyle w:val="2"/>
              <w:spacing w:after="0" w:line="240" w:lineRule="auto"/>
              <w:ind w:left="0"/>
              <w:rPr>
                <w:sz w:val="17"/>
                <w:szCs w:val="17"/>
              </w:rPr>
            </w:pPr>
            <w:r w:rsidRPr="00971238">
              <w:rPr>
                <w:sz w:val="17"/>
                <w:szCs w:val="17"/>
              </w:rPr>
              <w:t xml:space="preserve">__________________ </w:t>
            </w:r>
            <w:proofErr w:type="spellStart"/>
            <w:r w:rsidRPr="00971238">
              <w:rPr>
                <w:sz w:val="17"/>
                <w:szCs w:val="17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971238" w:rsidRPr="00971238" w:rsidRDefault="00971238" w:rsidP="00971238">
            <w:pPr>
              <w:pStyle w:val="2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971238">
              <w:rPr>
                <w:sz w:val="17"/>
                <w:szCs w:val="17"/>
              </w:rPr>
              <w:t>Поставщик:</w:t>
            </w:r>
          </w:p>
          <w:p w:rsidR="00971238" w:rsidRPr="00971238" w:rsidRDefault="00971238" w:rsidP="00971238">
            <w:pPr>
              <w:pStyle w:val="2"/>
              <w:spacing w:after="0" w:line="240" w:lineRule="auto"/>
              <w:ind w:left="0"/>
              <w:rPr>
                <w:sz w:val="17"/>
                <w:szCs w:val="17"/>
              </w:rPr>
            </w:pPr>
          </w:p>
        </w:tc>
      </w:tr>
    </w:tbl>
    <w:p w:rsidR="00495BD9" w:rsidRPr="00971238" w:rsidRDefault="00495BD9" w:rsidP="00971238">
      <w:pPr>
        <w:pStyle w:val="1"/>
        <w:rPr>
          <w:sz w:val="17"/>
          <w:szCs w:val="17"/>
        </w:rPr>
      </w:pPr>
    </w:p>
    <w:sectPr w:rsidR="00495BD9" w:rsidRPr="00971238" w:rsidSect="00940FD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40934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856C0"/>
    <w:rsid w:val="00195A7E"/>
    <w:rsid w:val="001A6688"/>
    <w:rsid w:val="001B3C8B"/>
    <w:rsid w:val="001C2DDF"/>
    <w:rsid w:val="001C72B3"/>
    <w:rsid w:val="001D0293"/>
    <w:rsid w:val="001D155F"/>
    <w:rsid w:val="00205231"/>
    <w:rsid w:val="00207AED"/>
    <w:rsid w:val="00222BFF"/>
    <w:rsid w:val="002234C9"/>
    <w:rsid w:val="00250003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2D5E51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0507"/>
    <w:rsid w:val="003C78DE"/>
    <w:rsid w:val="003D6850"/>
    <w:rsid w:val="003F50FE"/>
    <w:rsid w:val="00406628"/>
    <w:rsid w:val="00406689"/>
    <w:rsid w:val="00411C03"/>
    <w:rsid w:val="0042678E"/>
    <w:rsid w:val="00432099"/>
    <w:rsid w:val="0045497A"/>
    <w:rsid w:val="00465DAB"/>
    <w:rsid w:val="00467A10"/>
    <w:rsid w:val="00483CE7"/>
    <w:rsid w:val="00495BD9"/>
    <w:rsid w:val="004F13DE"/>
    <w:rsid w:val="00506DF1"/>
    <w:rsid w:val="00516E09"/>
    <w:rsid w:val="00517A40"/>
    <w:rsid w:val="00521F00"/>
    <w:rsid w:val="00534B9D"/>
    <w:rsid w:val="00552E88"/>
    <w:rsid w:val="00561890"/>
    <w:rsid w:val="00584615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157C5"/>
    <w:rsid w:val="00730619"/>
    <w:rsid w:val="00744DA4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84BD6"/>
    <w:rsid w:val="00886744"/>
    <w:rsid w:val="008A1AB5"/>
    <w:rsid w:val="008C06FE"/>
    <w:rsid w:val="008E5C83"/>
    <w:rsid w:val="008F12E3"/>
    <w:rsid w:val="00903654"/>
    <w:rsid w:val="00940FD2"/>
    <w:rsid w:val="00942DED"/>
    <w:rsid w:val="00955038"/>
    <w:rsid w:val="00961F47"/>
    <w:rsid w:val="00971238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E6840"/>
    <w:rsid w:val="00AE6B5D"/>
    <w:rsid w:val="00AF36CB"/>
    <w:rsid w:val="00AF5692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061C5"/>
    <w:rsid w:val="00C141E5"/>
    <w:rsid w:val="00C157AD"/>
    <w:rsid w:val="00C17604"/>
    <w:rsid w:val="00C21335"/>
    <w:rsid w:val="00C23ED1"/>
    <w:rsid w:val="00C50E76"/>
    <w:rsid w:val="00C62D04"/>
    <w:rsid w:val="00C65FE9"/>
    <w:rsid w:val="00C85FE6"/>
    <w:rsid w:val="00C9277D"/>
    <w:rsid w:val="00CA5F02"/>
    <w:rsid w:val="00CF3F85"/>
    <w:rsid w:val="00D1663A"/>
    <w:rsid w:val="00D2754F"/>
    <w:rsid w:val="00D27D26"/>
    <w:rsid w:val="00D371D2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5050A"/>
    <w:rsid w:val="00E63AF2"/>
    <w:rsid w:val="00E65313"/>
    <w:rsid w:val="00E71872"/>
    <w:rsid w:val="00E91A9F"/>
    <w:rsid w:val="00E93A7A"/>
    <w:rsid w:val="00E93E5E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77C02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F56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styleId="HTML">
    <w:name w:val="HTML Typewriter"/>
    <w:uiPriority w:val="99"/>
    <w:rsid w:val="00195A7E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71E-6A4D-4061-9A82-7C208A7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2012-06-28T06:48:00Z</cp:lastPrinted>
  <dcterms:created xsi:type="dcterms:W3CDTF">2012-06-28T06:52:00Z</dcterms:created>
  <dcterms:modified xsi:type="dcterms:W3CDTF">2012-06-28T06:53:00Z</dcterms:modified>
</cp:coreProperties>
</file>