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EA2520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4066E9">
        <w:rPr>
          <w:rFonts w:ascii="Times New Roman" w:hAnsi="Times New Roman"/>
        </w:rPr>
        <w:t xml:space="preserve">доверенности № </w:t>
      </w:r>
      <w:r w:rsidR="00EA2520">
        <w:rPr>
          <w:rFonts w:ascii="Times New Roman" w:hAnsi="Times New Roman"/>
        </w:rPr>
        <w:t>9</w:t>
      </w:r>
      <w:r w:rsidR="0006130B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DE0236">
        <w:rPr>
          <w:rFonts w:ascii="Times New Roman" w:hAnsi="Times New Roman"/>
          <w:b/>
        </w:rPr>
        <w:t>Общество с ограниченной ответственностью «ЭСТЕР»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DE0236">
        <w:rPr>
          <w:rFonts w:ascii="Times New Roman" w:hAnsi="Times New Roman"/>
        </w:rPr>
        <w:t xml:space="preserve"> директора </w:t>
      </w:r>
      <w:proofErr w:type="spellStart"/>
      <w:r w:rsidR="00DE0236">
        <w:rPr>
          <w:rFonts w:ascii="Times New Roman" w:hAnsi="Times New Roman"/>
        </w:rPr>
        <w:t>Пронькиной</w:t>
      </w:r>
      <w:proofErr w:type="spellEnd"/>
      <w:r w:rsidR="00DE0236">
        <w:rPr>
          <w:rFonts w:ascii="Times New Roman" w:hAnsi="Times New Roman"/>
        </w:rPr>
        <w:t xml:space="preserve"> Елены Ефимовны</w:t>
      </w:r>
      <w:r w:rsidR="009145BD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</w:t>
      </w:r>
      <w:r w:rsidR="00DE0236">
        <w:rPr>
          <w:rFonts w:ascii="Times New Roman" w:hAnsi="Times New Roman"/>
        </w:rPr>
        <w:t>действующей</w:t>
      </w:r>
      <w:r w:rsidR="00361214">
        <w:rPr>
          <w:rFonts w:ascii="Times New Roman" w:hAnsi="Times New Roman"/>
        </w:rPr>
        <w:t xml:space="preserve">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</w:t>
      </w:r>
      <w:proofErr w:type="gramEnd"/>
      <w:r w:rsidR="00486EC1">
        <w:rPr>
          <w:rFonts w:ascii="Times New Roman" w:hAnsi="Times New Roman"/>
        </w:rPr>
        <w:t xml:space="preserve">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7E1597">
        <w:rPr>
          <w:rFonts w:ascii="Times New Roman" w:hAnsi="Times New Roman"/>
        </w:rPr>
        <w:t>45</w:t>
      </w:r>
      <w:r w:rsidR="00DE0236">
        <w:rPr>
          <w:rFonts w:ascii="Times New Roman" w:hAnsi="Times New Roman"/>
        </w:rPr>
        <w:t>/0351100001714000077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DE0236">
        <w:rPr>
          <w:rFonts w:ascii="Times New Roman" w:hAnsi="Times New Roman"/>
        </w:rPr>
        <w:t xml:space="preserve"> от 29.07.2014г.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7E1597">
        <w:rPr>
          <w:rFonts w:ascii="Times New Roman" w:hAnsi="Times New Roman"/>
        </w:rPr>
        <w:t>постельных принадлежностей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EA2520">
        <w:rPr>
          <w:rFonts w:ascii="Times New Roman" w:hAnsi="Times New Roman"/>
        </w:rPr>
        <w:t xml:space="preserve"> </w:t>
      </w:r>
      <w:r w:rsidR="007E1597">
        <w:rPr>
          <w:rFonts w:ascii="Times New Roman" w:hAnsi="Times New Roman"/>
        </w:rPr>
        <w:t xml:space="preserve">постельные принадлежности (комплекты постельного белья, </w:t>
      </w:r>
      <w:proofErr w:type="spellStart"/>
      <w:r w:rsidR="007E1597">
        <w:rPr>
          <w:rFonts w:ascii="Times New Roman" w:hAnsi="Times New Roman"/>
        </w:rPr>
        <w:t>наматрацники</w:t>
      </w:r>
      <w:proofErr w:type="spellEnd"/>
      <w:r w:rsidR="007E1597">
        <w:rPr>
          <w:rFonts w:ascii="Times New Roman" w:hAnsi="Times New Roman"/>
        </w:rPr>
        <w:t>, покрывала)</w:t>
      </w:r>
      <w:r w:rsidR="00C15152">
        <w:rPr>
          <w:rFonts w:ascii="Times New Roman" w:hAnsi="Times New Roman"/>
        </w:rPr>
        <w:t xml:space="preserve">, перечень которых предусмотрен спецификацией, </w:t>
      </w:r>
      <w:r w:rsidR="007E1597">
        <w:rPr>
          <w:rFonts w:ascii="Times New Roman" w:hAnsi="Times New Roman"/>
        </w:rPr>
        <w:t>для студенческого городка заказчика.</w:t>
      </w:r>
      <w:r w:rsidR="002A309F">
        <w:rPr>
          <w:rFonts w:ascii="Times New Roman" w:hAnsi="Times New Roman"/>
        </w:rPr>
        <w:t xml:space="preserve"> </w:t>
      </w:r>
    </w:p>
    <w:p w:rsidR="009F7D8A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EA2520">
        <w:rPr>
          <w:rFonts w:ascii="Times New Roman" w:hAnsi="Times New Roman"/>
        </w:rPr>
        <w:t>Наименование, т</w:t>
      </w:r>
      <w:r w:rsidR="009F7D8A" w:rsidRPr="00BC6AE3">
        <w:rPr>
          <w:rFonts w:ascii="Times New Roman" w:hAnsi="Times New Roman"/>
        </w:rPr>
        <w:t xml:space="preserve">ехнические и качественные характеристики, </w:t>
      </w:r>
      <w:r w:rsidR="007E1597">
        <w:rPr>
          <w:rFonts w:ascii="Times New Roman" w:hAnsi="Times New Roman"/>
        </w:rPr>
        <w:t xml:space="preserve">количество и </w:t>
      </w:r>
      <w:r w:rsidR="009F7D8A" w:rsidRPr="00BC6AE3">
        <w:rPr>
          <w:rFonts w:ascii="Times New Roman" w:hAnsi="Times New Roman"/>
        </w:rPr>
        <w:t>цена поставля</w:t>
      </w:r>
      <w:r w:rsidR="009145BD">
        <w:rPr>
          <w:rFonts w:ascii="Times New Roman" w:hAnsi="Times New Roman"/>
        </w:rPr>
        <w:t>ем</w:t>
      </w:r>
      <w:r w:rsidR="00EA2520">
        <w:rPr>
          <w:rFonts w:ascii="Times New Roman" w:hAnsi="Times New Roman"/>
        </w:rPr>
        <w:t xml:space="preserve">ых </w:t>
      </w:r>
      <w:r w:rsidR="007E1597">
        <w:rPr>
          <w:rFonts w:ascii="Times New Roman" w:hAnsi="Times New Roman"/>
        </w:rPr>
        <w:t>постельных принадлежностей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4066E9">
        <w:rPr>
          <w:rFonts w:ascii="Times New Roman" w:hAnsi="Times New Roman" w:cs="Times New Roman"/>
        </w:rPr>
        <w:t>составляет</w:t>
      </w:r>
      <w:r w:rsidR="00DE0236">
        <w:rPr>
          <w:rFonts w:ascii="Times New Roman" w:hAnsi="Times New Roman" w:cs="Times New Roman"/>
        </w:rPr>
        <w:t xml:space="preserve">  364 263, 26</w:t>
      </w:r>
      <w:r w:rsidR="006B1F4C">
        <w:rPr>
          <w:rFonts w:ascii="Times New Roman" w:hAnsi="Times New Roman" w:cs="Times New Roman"/>
        </w:rPr>
        <w:t xml:space="preserve"> рублей</w:t>
      </w:r>
      <w:r w:rsidR="00DE0236">
        <w:rPr>
          <w:rFonts w:ascii="Times New Roman" w:hAnsi="Times New Roman" w:cs="Times New Roman"/>
        </w:rPr>
        <w:t xml:space="preserve"> (триста шестьдесят четыре тысячи двести шестьдесят три рубля 26 копеек)</w:t>
      </w:r>
      <w:r w:rsidR="006B1F4C">
        <w:rPr>
          <w:rFonts w:ascii="Times New Roman" w:hAnsi="Times New Roman" w:cs="Times New Roman"/>
        </w:rPr>
        <w:t>, с учетом</w:t>
      </w:r>
      <w:r w:rsidR="0006130B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4066E9">
        <w:rPr>
          <w:rFonts w:ascii="Times New Roman" w:hAnsi="Times New Roman"/>
        </w:rPr>
        <w:t>ктикой лица, сумма</w:t>
      </w:r>
      <w:r w:rsidRPr="006A44FB">
        <w:rPr>
          <w:rFonts w:ascii="Times New Roman" w:hAnsi="Times New Roman"/>
        </w:rPr>
        <w:t xml:space="preserve">, подлежащей уплате физическому лицу, </w:t>
      </w:r>
      <w:r w:rsidR="004066E9">
        <w:rPr>
          <w:rFonts w:ascii="Times New Roman" w:hAnsi="Times New Roman"/>
        </w:rPr>
        <w:t xml:space="preserve">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4066E9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4066E9">
        <w:rPr>
          <w:rFonts w:ascii="Times New Roman" w:hAnsi="Times New Roman"/>
        </w:rPr>
        <w:t>существляется в течение  5 (пять)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7E1597">
        <w:rPr>
          <w:rFonts w:ascii="Times New Roman" w:hAnsi="Times New Roman"/>
          <w:kern w:val="0"/>
          <w:lang w:eastAsia="ru-RU"/>
        </w:rPr>
        <w:t>Ковальчук д.187, бельевой 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</w:t>
      </w:r>
      <w:r w:rsidR="00C71373">
        <w:rPr>
          <w:rFonts w:ascii="Times New Roman" w:hAnsi="Times New Roman"/>
          <w:kern w:val="0"/>
          <w:lang w:eastAsia="ru-RU"/>
        </w:rPr>
        <w:lastRenderedPageBreak/>
        <w:t xml:space="preserve">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7E1597">
        <w:rPr>
          <w:rFonts w:ascii="Times New Roman" w:hAnsi="Times New Roman"/>
        </w:rPr>
        <w:t xml:space="preserve"> 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E1597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</w:t>
      </w:r>
      <w:r w:rsidR="007E1597">
        <w:rPr>
          <w:rFonts w:ascii="Times New Roman" w:hAnsi="Times New Roman"/>
        </w:rPr>
        <w:t>4.5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</w:t>
      </w:r>
      <w:r w:rsidR="007E1597">
        <w:rPr>
          <w:rFonts w:ascii="Times New Roman" w:hAnsi="Times New Roman"/>
        </w:rPr>
        <w:t>4.6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E1597">
        <w:rPr>
          <w:rFonts w:ascii="Times New Roman" w:hAnsi="Times New Roman"/>
        </w:rPr>
        <w:t>4.7</w:t>
      </w:r>
      <w:r>
        <w:rPr>
          <w:rFonts w:ascii="Times New Roman" w:hAnsi="Times New Roman"/>
        </w:rPr>
        <w:t>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lastRenderedPageBreak/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7E1597">
        <w:rPr>
          <w:rFonts w:ascii="Times New Roman" w:eastAsiaTheme="minorHAnsi" w:hAnsi="Times New Roman"/>
          <w:kern w:val="0"/>
          <w:lang w:eastAsia="en-US"/>
        </w:rPr>
        <w:t>56 735,50</w:t>
      </w:r>
      <w:r w:rsidR="008E42E0">
        <w:rPr>
          <w:rFonts w:ascii="Times New Roman" w:eastAsiaTheme="minorHAnsi" w:hAnsi="Times New Roman"/>
          <w:kern w:val="0"/>
          <w:lang w:eastAsia="en-US"/>
        </w:rPr>
        <w:t xml:space="preserve"> рублей и предоставляется с учетом антидемпинговых мер</w:t>
      </w:r>
      <w:r w:rsidR="00EA2520">
        <w:rPr>
          <w:rFonts w:ascii="Times New Roman" w:eastAsiaTheme="minorHAnsi" w:hAnsi="Times New Roman"/>
          <w:kern w:val="0"/>
          <w:lang w:eastAsia="en-US"/>
        </w:rPr>
        <w:t xml:space="preserve"> при возникновении такой обязанности у Поставщика на момент заключения договора</w:t>
      </w:r>
      <w:r w:rsidR="008E42E0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lastRenderedPageBreak/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</w:t>
      </w:r>
      <w:r w:rsidR="007E1597" w:rsidRPr="007E1597">
        <w:rPr>
          <w:rFonts w:ascii="Times New Roman" w:hAnsi="Times New Roman"/>
          <w:b/>
          <w:bCs/>
        </w:rPr>
        <w:t>не позднее чем в течение трех рабочих дней с даты</w:t>
      </w:r>
      <w:r w:rsidR="007E1597" w:rsidRPr="007E1597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7E1597" w:rsidRPr="007E1597">
        <w:rPr>
          <w:rFonts w:ascii="Times New Roman" w:hAnsi="Times New Roman"/>
          <w:b/>
          <w:bCs/>
        </w:rPr>
        <w:t>не позднее чем в течение трех рабочих дней с даты</w:t>
      </w:r>
      <w:r w:rsidR="007E1597" w:rsidRPr="007E1597">
        <w:rPr>
          <w:rFonts w:ascii="Times New Roman" w:hAnsi="Times New Roman"/>
          <w:bCs/>
        </w:rPr>
        <w:t xml:space="preserve">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F120FD" w:rsidTr="0006130B">
        <w:tc>
          <w:tcPr>
            <w:tcW w:w="4923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r w:rsidR="00EA2520">
              <w:rPr>
                <w:rFonts w:ascii="Times New Roman" w:hAnsi="Times New Roman" w:cs="Times New Roman"/>
              </w:rPr>
              <w:t>О.Ю.Васильев</w:t>
            </w:r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6130B" w:rsidRDefault="00DE0236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«ЭСТЕР»</w:t>
            </w:r>
          </w:p>
          <w:p w:rsidR="00DE0236" w:rsidRDefault="00DE0236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 г. Иваново,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расной Армии</w:t>
            </w:r>
          </w:p>
          <w:p w:rsidR="00DE0236" w:rsidRDefault="00DE0236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Д.20 офис 3-14  </w:t>
            </w:r>
          </w:p>
          <w:p w:rsidR="00DE0236" w:rsidRDefault="00DE0236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F120FD">
              <w:rPr>
                <w:rFonts w:ascii="Times New Roman" w:hAnsi="Times New Roman" w:cs="Times New Roman"/>
                <w:lang w:val="en-US"/>
              </w:rPr>
              <w:t xml:space="preserve">. (4932) 32-64-66  </w:t>
            </w:r>
            <w:r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7" w:history="1">
              <w:r w:rsidR="00F120FD" w:rsidRPr="00FD3BFA">
                <w:rPr>
                  <w:rStyle w:val="a6"/>
                  <w:rFonts w:ascii="Times New Roman" w:hAnsi="Times New Roman" w:cs="Times New Roman"/>
                  <w:lang w:val="en-US"/>
                </w:rPr>
                <w:t>ooo-ester@mail.ru</w:t>
              </w:r>
            </w:hyperlink>
            <w:r w:rsidR="00F120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1113702029759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3702658935   КПП  370201001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40702810900000001699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АКБ «Акция»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 30101810600000000707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042406707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Е.Е.Пронькина</w:t>
            </w:r>
            <w:proofErr w:type="spellEnd"/>
          </w:p>
          <w:p w:rsidR="00DE0236" w:rsidRPr="00F120FD" w:rsidRDefault="00F120FD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  <w:p w:rsidR="00DE0236" w:rsidRPr="00F120FD" w:rsidRDefault="00DE0236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Pr="00F120FD" w:rsidRDefault="00D76F09" w:rsidP="00D76F09">
      <w:pPr>
        <w:suppressAutoHyphens w:val="0"/>
        <w:spacing w:after="0" w:line="240" w:lineRule="auto"/>
      </w:pPr>
    </w:p>
    <w:p w:rsidR="00D76F09" w:rsidRDefault="00A27367" w:rsidP="00D76F09">
      <w:pPr>
        <w:suppressAutoHyphens w:val="0"/>
        <w:spacing w:after="0" w:line="240" w:lineRule="auto"/>
      </w:pPr>
      <w:r>
        <w:t>Приложение №</w:t>
      </w:r>
      <w:r w:rsidR="0006130B">
        <w:t>1 к договору</w:t>
      </w:r>
    </w:p>
    <w:p w:rsidR="00DE0236" w:rsidRDefault="00DE0236" w:rsidP="00D76F09">
      <w:pPr>
        <w:suppressAutoHyphens w:val="0"/>
        <w:spacing w:after="0" w:line="240" w:lineRule="auto"/>
      </w:pPr>
      <w:r>
        <w:t>СПЕЦИФИКАЦИЯ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5974"/>
        <w:gridCol w:w="850"/>
        <w:gridCol w:w="709"/>
        <w:gridCol w:w="1134"/>
        <w:gridCol w:w="1276"/>
      </w:tblGrid>
      <w:tr w:rsidR="00DE0236" w:rsidRPr="00DE0236" w:rsidTr="00DE0236">
        <w:tc>
          <w:tcPr>
            <w:tcW w:w="655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120FD">
              <w:rPr>
                <w:b/>
                <w:sz w:val="20"/>
                <w:szCs w:val="20"/>
              </w:rPr>
              <w:t>п</w:t>
            </w:r>
            <w:proofErr w:type="gramEnd"/>
            <w:r w:rsidRPr="00F120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74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>Наименование товаров, описание функциональных характеристик (потребительских свойств) и качественных характеристик товаров</w:t>
            </w:r>
          </w:p>
        </w:tc>
        <w:tc>
          <w:tcPr>
            <w:tcW w:w="850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>Цена за единицу, рублей</w:t>
            </w:r>
          </w:p>
        </w:tc>
        <w:tc>
          <w:tcPr>
            <w:tcW w:w="1276" w:type="dxa"/>
          </w:tcPr>
          <w:p w:rsidR="00DE0236" w:rsidRPr="00F120FD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F120FD">
              <w:rPr>
                <w:b/>
                <w:sz w:val="20"/>
                <w:szCs w:val="20"/>
              </w:rPr>
              <w:t>Сумма, руб.</w:t>
            </w:r>
          </w:p>
        </w:tc>
      </w:tr>
      <w:tr w:rsidR="00DE0236" w:rsidRPr="00DE0236" w:rsidTr="00DE0236">
        <w:tc>
          <w:tcPr>
            <w:tcW w:w="655" w:type="dxa"/>
            <w:vMerge w:val="restart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  <w:vMerge w:val="restart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Комплект постельного белья 1,5 спального: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 - простынь,- 1 шт.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- пододеяльник- 1 шт.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 - наволочка – 1шт.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 xml:space="preserve"> в индивидуальной упаковке с вкладышем о цене.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Простыня, </w:t>
            </w:r>
            <w:r w:rsidRPr="00DE0236">
              <w:rPr>
                <w:sz w:val="20"/>
                <w:szCs w:val="20"/>
              </w:rPr>
              <w:t>размер 214*150 см. цельнокроеная, две боковые стороны подшиваются швом в подгибку шириной 1 см, две другие стороны имеют заработанную кромку.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 xml:space="preserve">Ткань бязь набивная цветная, 100% хлопок, фон светлый, рисунок абстрактный, уровень усадки ткани 3%.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ГОСТ 29298-2005 п.4.2.15: поверхностная плотность 142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, число нитей на 10 см. по основе 254,5, по утку - 216; разрывная нагрузка полоски ткани 50*200 мм по основе 294, по утку 196, линейная плотность пряжи 34,5 г/м</w:t>
            </w:r>
            <w:r w:rsidRPr="00DE0236">
              <w:rPr>
                <w:sz w:val="20"/>
                <w:szCs w:val="20"/>
                <w:vertAlign w:val="superscript"/>
              </w:rPr>
              <w:t>2</w:t>
            </w:r>
            <w:r w:rsidRPr="00DE0236">
              <w:rPr>
                <w:sz w:val="20"/>
                <w:szCs w:val="20"/>
              </w:rPr>
              <w:t>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Пододеяльник</w:t>
            </w:r>
            <w:r w:rsidRPr="00DE0236">
              <w:rPr>
                <w:sz w:val="20"/>
                <w:szCs w:val="20"/>
              </w:rPr>
              <w:t>, размер 145*210 см. Прямоугольной формы без выреза, разрез длиной 60 см, обрабатывается в боковом шве. Ткань бязь набивная, цветная, уровень усадки ткани 3%. 100% хлопок, фон светлый, рисунок абстрактный, ГОСТ 29298-2005 п.4.2.15: поверхностная плотность 142г/м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, число нитей на 10 см. по основе 254,5, по утку- 216; разрывная нагрузка полоски ткани 50*200 мм по основе 294, по утку 196, линейная плотность пряжи 34,5 г/м</w:t>
            </w:r>
            <w:r w:rsidRPr="00DE0236">
              <w:rPr>
                <w:sz w:val="20"/>
                <w:szCs w:val="20"/>
                <w:vertAlign w:val="superscript"/>
              </w:rPr>
              <w:t>2</w:t>
            </w:r>
            <w:r w:rsidRPr="00DE0236">
              <w:rPr>
                <w:sz w:val="20"/>
                <w:szCs w:val="20"/>
              </w:rPr>
              <w:t>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Наволочка подушечная верхняя</w:t>
            </w:r>
            <w:r w:rsidRPr="00DE0236">
              <w:rPr>
                <w:sz w:val="20"/>
                <w:szCs w:val="20"/>
              </w:rPr>
              <w:t xml:space="preserve">, размер 70*70 см. С заходом одной стороны на другую 25 см, один край открытый, другие стачиваются «запошивочным» швом. Ткань бязь набивная, цветная, 100% хлопок, рисунок абстрактный, светлый фон, уровень усадки ткани 3%. ГОСТ 29298-2005, в соответствии с техническим описанием ГОСТ 29298-2005 п.4.2.15: поверхностная плотность 142 </w:t>
            </w:r>
            <w:r w:rsidRPr="00DE0236">
              <w:rPr>
                <w:sz w:val="20"/>
                <w:szCs w:val="20"/>
              </w:rPr>
              <w:lastRenderedPageBreak/>
              <w:t>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, число нитей на 10 см. по основе 254,5, по утку 216; разрывная нагрузка полоски ткани 50*200 мм по основе 294, по утку 196, линейная плотность пряжи 34,5 г/м</w:t>
            </w:r>
            <w:r w:rsidRPr="00DE0236">
              <w:rPr>
                <w:sz w:val="20"/>
                <w:szCs w:val="20"/>
                <w:vertAlign w:val="superscript"/>
              </w:rPr>
              <w:t>2</w:t>
            </w:r>
            <w:r w:rsidRPr="00DE023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lastRenderedPageBreak/>
              <w:t> 430</w:t>
            </w:r>
          </w:p>
        </w:tc>
        <w:tc>
          <w:tcPr>
            <w:tcW w:w="709" w:type="dxa"/>
            <w:vMerge w:val="restart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комплект.</w:t>
            </w:r>
          </w:p>
        </w:tc>
        <w:tc>
          <w:tcPr>
            <w:tcW w:w="1134" w:type="dxa"/>
            <w:tcBorders>
              <w:bottom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0236" w:rsidRPr="00DE0236" w:rsidTr="00DE0236">
        <w:tc>
          <w:tcPr>
            <w:tcW w:w="655" w:type="dxa"/>
            <w:vMerge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0236" w:rsidRPr="00DE0236" w:rsidTr="00DE0236">
        <w:tc>
          <w:tcPr>
            <w:tcW w:w="655" w:type="dxa"/>
            <w:vMerge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386,00</w:t>
            </w:r>
          </w:p>
        </w:tc>
        <w:tc>
          <w:tcPr>
            <w:tcW w:w="1276" w:type="dxa"/>
            <w:tcBorders>
              <w:top w:val="nil"/>
            </w:tcBorders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165 980,00</w:t>
            </w:r>
          </w:p>
        </w:tc>
      </w:tr>
      <w:tr w:rsidR="00DE0236" w:rsidRPr="00DE0236" w:rsidTr="00DE0236">
        <w:tc>
          <w:tcPr>
            <w:tcW w:w="655" w:type="dxa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Комплект постельного белья 2-х спального: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 - простынь- 1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- пододеяльник 1 шт.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- наволочка – 2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в индивидуальной упаковке с вкладышем о цене.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Простыня</w:t>
            </w:r>
            <w:r w:rsidRPr="00DE0236">
              <w:rPr>
                <w:sz w:val="20"/>
                <w:szCs w:val="20"/>
              </w:rPr>
              <w:t xml:space="preserve">, размер 225*200 см.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E0236">
              <w:rPr>
                <w:sz w:val="20"/>
                <w:szCs w:val="20"/>
              </w:rPr>
              <w:t>цельнокроеная</w:t>
            </w:r>
            <w:proofErr w:type="gramEnd"/>
            <w:r w:rsidRPr="00DE0236">
              <w:rPr>
                <w:sz w:val="20"/>
                <w:szCs w:val="20"/>
              </w:rPr>
              <w:t>, две боковые стороны подшиваются швом в подгибку шириной 1 см, две другие стороны имеют заработанную кромку. Ткань сатин гладкокрашеный, 100% хлопок, рисунок абстрактный, фон светлый, плотность 150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 xml:space="preserve">, основа 130, уток 70, уровень усадки ткани 3%,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Пододеяльник</w:t>
            </w:r>
            <w:r w:rsidRPr="00DE0236">
              <w:rPr>
                <w:sz w:val="20"/>
                <w:szCs w:val="20"/>
              </w:rPr>
              <w:t>, размер 180*210 см, ткань сатин гладкокрашеный, 100% хлопок, рисунок абстрактный, фон светлый, плотность 150г/м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, основа 130, уток 70, уровень усадки ткани 3%. Прямоугольной формы без выреза, разрез длиной 60 см, обрабатывается в боковом шве, выполнен замком – молнией, пластмассовым.</w:t>
            </w:r>
            <w:r w:rsidRPr="00DE0236">
              <w:rPr>
                <w:b/>
                <w:sz w:val="20"/>
                <w:szCs w:val="20"/>
              </w:rPr>
              <w:t xml:space="preserve"> Комплект наволочек 2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  <w:r w:rsidRPr="00DE0236">
              <w:rPr>
                <w:sz w:val="20"/>
                <w:szCs w:val="20"/>
              </w:rPr>
              <w:t>размер 50*70 см ткань сатин гладкокрашеный, 100% хлопок, рисунок абстрактный, фон светлый, плотность 150г/м</w:t>
            </w:r>
            <w:r w:rsidRPr="00DE0236">
              <w:rPr>
                <w:sz w:val="20"/>
                <w:szCs w:val="20"/>
                <w:vertAlign w:val="superscript"/>
              </w:rPr>
              <w:t>2</w:t>
            </w:r>
            <w:r w:rsidRPr="00DE0236">
              <w:rPr>
                <w:sz w:val="20"/>
                <w:szCs w:val="20"/>
              </w:rPr>
              <w:t>, основа 130, уток 70, уровень усадки ткани 3%. С заходом одной стороны на другую 25 см, один край открытый, другие стачиваются «запошивочным» швом.</w:t>
            </w:r>
          </w:p>
        </w:tc>
        <w:tc>
          <w:tcPr>
            <w:tcW w:w="850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комплект.</w:t>
            </w:r>
          </w:p>
        </w:tc>
        <w:tc>
          <w:tcPr>
            <w:tcW w:w="113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555,50</w:t>
            </w:r>
          </w:p>
        </w:tc>
        <w:tc>
          <w:tcPr>
            <w:tcW w:w="1276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2 777,50</w:t>
            </w:r>
          </w:p>
        </w:tc>
      </w:tr>
      <w:tr w:rsidR="00DE0236" w:rsidRPr="00DE0236" w:rsidTr="00DE0236">
        <w:tc>
          <w:tcPr>
            <w:tcW w:w="655" w:type="dxa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Комплект постельного белья 2-х спального: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 - простынь- 1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- пододеяльник 1 шт.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 xml:space="preserve">- наволочка – 2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в индивидуальной упаковке с вкладышем о цене.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Простыня</w:t>
            </w:r>
            <w:r w:rsidRPr="00DE0236">
              <w:rPr>
                <w:sz w:val="20"/>
                <w:szCs w:val="20"/>
              </w:rPr>
              <w:t xml:space="preserve">, размер 225*200 см.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E0236">
              <w:rPr>
                <w:sz w:val="20"/>
                <w:szCs w:val="20"/>
              </w:rPr>
              <w:t>цельнокроеная</w:t>
            </w:r>
            <w:proofErr w:type="gramEnd"/>
            <w:r w:rsidRPr="00DE0236">
              <w:rPr>
                <w:sz w:val="20"/>
                <w:szCs w:val="20"/>
              </w:rPr>
              <w:t>, две боковые стороны подшиваются швом в подгибку шириной 1 см, две другие стороны имеют заработанную кромку. Ткань сатин гладкокрашеный, 100% хлопок, рисунок абстрактный, фон светлый, плотность 150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 xml:space="preserve">, основа 130, уток 70, уровень усадки ткани 3%, </w:t>
            </w:r>
          </w:p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Пододеяльник</w:t>
            </w:r>
            <w:r w:rsidRPr="00DE0236">
              <w:rPr>
                <w:sz w:val="20"/>
                <w:szCs w:val="20"/>
              </w:rPr>
              <w:t>, размер 180*210 см, ткань сатин гладкокрашеный, 100% хлопок, рисунок абстрактный, фон светлый, плотность 150г/м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, основа 130, уток 70, уровень усадки ткани 3%. Прямоугольной формы без выреза, разрез длиной 60 см, обрабатывается в боковом шве, выполнен замком – молнией, пластмассовым.</w:t>
            </w:r>
            <w:r w:rsidRPr="00DE0236">
              <w:rPr>
                <w:b/>
                <w:sz w:val="20"/>
                <w:szCs w:val="20"/>
              </w:rPr>
              <w:t xml:space="preserve"> Комплект наволочек 2 </w:t>
            </w:r>
            <w:proofErr w:type="spellStart"/>
            <w:proofErr w:type="gramStart"/>
            <w:r w:rsidRPr="00DE023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E0236">
              <w:rPr>
                <w:b/>
                <w:sz w:val="20"/>
                <w:szCs w:val="20"/>
              </w:rPr>
              <w:t xml:space="preserve">, </w:t>
            </w:r>
            <w:r w:rsidRPr="00DE0236">
              <w:rPr>
                <w:sz w:val="20"/>
                <w:szCs w:val="20"/>
              </w:rPr>
              <w:t>размер 50*70 см ткань сатин гладкокрашеный, 100% хлопок, рисунок абстрактный, фон светлый, плотность 150г/м</w:t>
            </w:r>
            <w:r w:rsidRPr="00DE0236">
              <w:rPr>
                <w:sz w:val="20"/>
                <w:szCs w:val="20"/>
                <w:vertAlign w:val="superscript"/>
              </w:rPr>
              <w:t>2</w:t>
            </w:r>
            <w:r w:rsidRPr="00DE0236">
              <w:rPr>
                <w:sz w:val="20"/>
                <w:szCs w:val="20"/>
              </w:rPr>
              <w:t>, основа 130, уток 70, уровень усадки ткани 3%. С заходом одной стороны на другую 25 см, один край открытый, другие стачиваются «запошивочным» швом.</w:t>
            </w:r>
          </w:p>
        </w:tc>
        <w:tc>
          <w:tcPr>
            <w:tcW w:w="850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комплект.</w:t>
            </w:r>
          </w:p>
        </w:tc>
        <w:tc>
          <w:tcPr>
            <w:tcW w:w="113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555,76</w:t>
            </w:r>
          </w:p>
        </w:tc>
        <w:tc>
          <w:tcPr>
            <w:tcW w:w="1276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555,76</w:t>
            </w:r>
          </w:p>
        </w:tc>
      </w:tr>
      <w:tr w:rsidR="00DE0236" w:rsidRPr="00DE0236" w:rsidTr="00DE0236">
        <w:tc>
          <w:tcPr>
            <w:tcW w:w="655" w:type="dxa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Наматрацник-1:</w:t>
            </w:r>
            <w:r w:rsidRPr="00DE0236">
              <w:rPr>
                <w:sz w:val="20"/>
                <w:szCs w:val="20"/>
              </w:rPr>
              <w:t xml:space="preserve">Размер 100*230 см. с заходом одной стороны на другую 30 см, один открытый край. Ткань сорочечная </w:t>
            </w:r>
            <w:proofErr w:type="spellStart"/>
            <w:r w:rsidRPr="00DE0236">
              <w:rPr>
                <w:sz w:val="20"/>
                <w:szCs w:val="20"/>
              </w:rPr>
              <w:t>поликотон</w:t>
            </w:r>
            <w:proofErr w:type="spellEnd"/>
            <w:r w:rsidRPr="00DE0236">
              <w:rPr>
                <w:sz w:val="20"/>
                <w:szCs w:val="20"/>
              </w:rPr>
              <w:t>, плотность 120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 xml:space="preserve">, уровень усадки ткани 3%. </w:t>
            </w:r>
          </w:p>
        </w:tc>
        <w:tc>
          <w:tcPr>
            <w:tcW w:w="850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213,00</w:t>
            </w:r>
          </w:p>
        </w:tc>
        <w:tc>
          <w:tcPr>
            <w:tcW w:w="1276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53 250,00</w:t>
            </w:r>
          </w:p>
        </w:tc>
      </w:tr>
      <w:tr w:rsidR="00DE0236" w:rsidRPr="00DE0236" w:rsidTr="00DE0236">
        <w:tc>
          <w:tcPr>
            <w:tcW w:w="655" w:type="dxa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Наматрацник-2:</w:t>
            </w:r>
            <w:r w:rsidRPr="00DE0236">
              <w:rPr>
                <w:sz w:val="20"/>
                <w:szCs w:val="20"/>
              </w:rPr>
              <w:t xml:space="preserve">Размер 95*210 см. с заходом одной стороны на другую 30 см, один открытый край. Ткань сорочечная </w:t>
            </w:r>
            <w:proofErr w:type="spellStart"/>
            <w:r w:rsidRPr="00DE0236">
              <w:rPr>
                <w:sz w:val="20"/>
                <w:szCs w:val="20"/>
              </w:rPr>
              <w:t>поликотон</w:t>
            </w:r>
            <w:proofErr w:type="spellEnd"/>
            <w:r w:rsidRPr="00DE0236">
              <w:rPr>
                <w:sz w:val="20"/>
                <w:szCs w:val="20"/>
              </w:rPr>
              <w:t>, плотность 120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 xml:space="preserve">, уровень усадки ткани 3%. </w:t>
            </w:r>
          </w:p>
        </w:tc>
        <w:tc>
          <w:tcPr>
            <w:tcW w:w="850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197,00</w:t>
            </w:r>
          </w:p>
        </w:tc>
        <w:tc>
          <w:tcPr>
            <w:tcW w:w="1276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49 250,00</w:t>
            </w:r>
          </w:p>
        </w:tc>
      </w:tr>
      <w:tr w:rsidR="00DE0236" w:rsidRPr="00DE0236" w:rsidTr="00DE0236">
        <w:tc>
          <w:tcPr>
            <w:tcW w:w="655" w:type="dxa"/>
          </w:tcPr>
          <w:p w:rsidR="00DE0236" w:rsidRPr="00DE0236" w:rsidRDefault="00DE0236" w:rsidP="00DE0236">
            <w:pPr>
              <w:numPr>
                <w:ilvl w:val="0"/>
                <w:numId w:val="5"/>
              </w:numPr>
              <w:suppressAutoHyphens w:val="0"/>
              <w:spacing w:after="0" w:line="240" w:lineRule="auto"/>
            </w:pPr>
          </w:p>
        </w:tc>
        <w:tc>
          <w:tcPr>
            <w:tcW w:w="597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DE0236">
              <w:rPr>
                <w:b/>
                <w:sz w:val="20"/>
                <w:szCs w:val="20"/>
              </w:rPr>
              <w:t>Покрывало гобелен</w:t>
            </w:r>
            <w:r w:rsidRPr="00DE0236">
              <w:rPr>
                <w:sz w:val="20"/>
                <w:szCs w:val="20"/>
              </w:rPr>
              <w:t>, размер 160*220 см. Ткань гобелен цветной, фон яркий, рисунок абстрактный, плотность 300 г/м</w:t>
            </w:r>
            <w:proofErr w:type="gramStart"/>
            <w:r w:rsidRPr="00DE02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E0236">
              <w:rPr>
                <w:sz w:val="20"/>
                <w:szCs w:val="20"/>
              </w:rPr>
              <w:t>. Состав: х/б 30%; полиэстер 70%, устойчивой окраски, уровень усадки ткани 3%.</w:t>
            </w:r>
          </w:p>
        </w:tc>
        <w:tc>
          <w:tcPr>
            <w:tcW w:w="850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430</w:t>
            </w:r>
          </w:p>
        </w:tc>
        <w:tc>
          <w:tcPr>
            <w:tcW w:w="709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215,00</w:t>
            </w:r>
          </w:p>
        </w:tc>
        <w:tc>
          <w:tcPr>
            <w:tcW w:w="1276" w:type="dxa"/>
          </w:tcPr>
          <w:p w:rsidR="00DE0236" w:rsidRPr="00DE0236" w:rsidRDefault="00DE0236" w:rsidP="00DE023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DE0236">
              <w:rPr>
                <w:sz w:val="20"/>
                <w:szCs w:val="20"/>
              </w:rPr>
              <w:t>92 450,00</w:t>
            </w:r>
          </w:p>
        </w:tc>
      </w:tr>
      <w:tr w:rsidR="00DE0236" w:rsidRPr="00DE0236" w:rsidTr="00DE0236">
        <w:tc>
          <w:tcPr>
            <w:tcW w:w="10598" w:type="dxa"/>
            <w:gridSpan w:val="6"/>
          </w:tcPr>
          <w:p w:rsidR="00DE0236" w:rsidRPr="00DE0236" w:rsidRDefault="00DE0236" w:rsidP="00DE0236">
            <w:pPr>
              <w:suppressAutoHyphens w:val="0"/>
              <w:spacing w:after="0" w:line="240" w:lineRule="auto"/>
            </w:pPr>
            <w:r w:rsidRPr="00DE0236">
              <w:t>Итого: 364 263 (Триста шестьдесят четыре тысячи двести шестьдесят три</w:t>
            </w:r>
            <w:proofErr w:type="gramStart"/>
            <w:r w:rsidRPr="00DE0236">
              <w:t xml:space="preserve"> )</w:t>
            </w:r>
            <w:proofErr w:type="gramEnd"/>
            <w:r w:rsidRPr="00DE0236">
              <w:t xml:space="preserve"> рубля 26 копеек</w:t>
            </w:r>
          </w:p>
        </w:tc>
      </w:tr>
    </w:tbl>
    <w:p w:rsidR="00DE0236" w:rsidRPr="00DE0236" w:rsidRDefault="00DE0236" w:rsidP="00DE0236">
      <w:pPr>
        <w:suppressAutoHyphens w:val="0"/>
        <w:spacing w:after="0" w:line="240" w:lineRule="auto"/>
      </w:pPr>
    </w:p>
    <w:p w:rsidR="00DE0236" w:rsidRDefault="00DE0236" w:rsidP="00D76F09">
      <w:pPr>
        <w:suppressAutoHyphens w:val="0"/>
        <w:spacing w:after="0" w:line="240" w:lineRule="auto"/>
      </w:pPr>
      <w:r>
        <w:t xml:space="preserve">      Заказчик                                                                                                                 Поставщик</w:t>
      </w:r>
    </w:p>
    <w:p w:rsidR="00DE0236" w:rsidRDefault="00DE0236" w:rsidP="00D76F09">
      <w:pPr>
        <w:suppressAutoHyphens w:val="0"/>
        <w:spacing w:after="0" w:line="240" w:lineRule="auto"/>
      </w:pPr>
      <w:r>
        <w:t xml:space="preserve">Проректор _____________ О.Ю.Васильев                                      Директор ____________ </w:t>
      </w:r>
      <w:proofErr w:type="spellStart"/>
      <w:r>
        <w:t>Е.Е.Пронькина</w:t>
      </w:r>
      <w:proofErr w:type="spellEnd"/>
    </w:p>
    <w:p w:rsidR="00DE0236" w:rsidRDefault="00DE0236" w:rsidP="00D76F09">
      <w:pPr>
        <w:suppressAutoHyphens w:val="0"/>
        <w:spacing w:after="0" w:line="240" w:lineRule="auto"/>
      </w:pPr>
      <w:r>
        <w:t>Электронная подпись                                                                            Электронная подпись</w:t>
      </w:r>
    </w:p>
    <w:sectPr w:rsidR="00DE0236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DDF508D"/>
    <w:multiLevelType w:val="hybridMultilevel"/>
    <w:tmpl w:val="C4822EE2"/>
    <w:lvl w:ilvl="0" w:tplc="EDFA2EFC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76FF"/>
    <w:rsid w:val="003B71BC"/>
    <w:rsid w:val="003D025A"/>
    <w:rsid w:val="003D7DDD"/>
    <w:rsid w:val="003F3630"/>
    <w:rsid w:val="004066E9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3EC1"/>
    <w:rsid w:val="007B6D5C"/>
    <w:rsid w:val="007E1597"/>
    <w:rsid w:val="007E524C"/>
    <w:rsid w:val="00823E86"/>
    <w:rsid w:val="00830466"/>
    <w:rsid w:val="00833BB4"/>
    <w:rsid w:val="00853076"/>
    <w:rsid w:val="008D17E2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0477C"/>
    <w:rsid w:val="00B33FB8"/>
    <w:rsid w:val="00B45680"/>
    <w:rsid w:val="00B47DE7"/>
    <w:rsid w:val="00B6153F"/>
    <w:rsid w:val="00B97AA7"/>
    <w:rsid w:val="00BB319C"/>
    <w:rsid w:val="00C15152"/>
    <w:rsid w:val="00C2780D"/>
    <w:rsid w:val="00C4219B"/>
    <w:rsid w:val="00C529B3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236"/>
    <w:rsid w:val="00DE065A"/>
    <w:rsid w:val="00DE49F0"/>
    <w:rsid w:val="00E0470F"/>
    <w:rsid w:val="00E15129"/>
    <w:rsid w:val="00E26FBD"/>
    <w:rsid w:val="00E371DE"/>
    <w:rsid w:val="00E52235"/>
    <w:rsid w:val="00E87435"/>
    <w:rsid w:val="00EA2520"/>
    <w:rsid w:val="00ED2F67"/>
    <w:rsid w:val="00ED6F13"/>
    <w:rsid w:val="00F120FD"/>
    <w:rsid w:val="00F15679"/>
    <w:rsid w:val="00F2531F"/>
    <w:rsid w:val="00F66EFC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o-est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3EB4-FA67-4856-AB3B-7438DF75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2014-07-31T07:33:00Z</dcterms:created>
  <dcterms:modified xsi:type="dcterms:W3CDTF">2014-07-31T07:33:00Z</dcterms:modified>
</cp:coreProperties>
</file>