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362D7F" w:rsidRPr="00362D7F">
        <w:rPr>
          <w:rFonts w:ascii="Times New Roman" w:hAnsi="Times New Roman"/>
          <w:sz w:val="20"/>
          <w:szCs w:val="20"/>
        </w:rPr>
        <w:t>5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1137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«ЗОДИАК»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1D38F7">
        <w:rPr>
          <w:rFonts w:ascii="Times New Roman" w:hAnsi="Times New Roman"/>
          <w:sz w:val="20"/>
          <w:szCs w:val="20"/>
        </w:rPr>
        <w:t>директор</w:t>
      </w:r>
      <w:r w:rsidR="00113728">
        <w:rPr>
          <w:rFonts w:ascii="Times New Roman" w:hAnsi="Times New Roman"/>
          <w:sz w:val="20"/>
          <w:szCs w:val="20"/>
        </w:rPr>
        <w:t>а  Ананьева</w:t>
      </w:r>
      <w:r w:rsidR="00E21D8C">
        <w:rPr>
          <w:rFonts w:ascii="Times New Roman" w:hAnsi="Times New Roman"/>
          <w:sz w:val="20"/>
          <w:szCs w:val="20"/>
        </w:rPr>
        <w:t xml:space="preserve"> Андрея Александровича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E21D8C">
        <w:rPr>
          <w:rFonts w:ascii="Times New Roman" w:hAnsi="Times New Roman"/>
          <w:sz w:val="20"/>
          <w:szCs w:val="20"/>
        </w:rPr>
        <w:t>51/ 0351100001715000096</w:t>
      </w:r>
      <w:r w:rsidR="00FF1C81">
        <w:rPr>
          <w:rFonts w:ascii="Times New Roman" w:hAnsi="Times New Roman"/>
          <w:sz w:val="20"/>
          <w:szCs w:val="20"/>
        </w:rPr>
        <w:t>.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протокола подведения итогов электронного аукциона от 08.12.2015г.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D33F44">
        <w:rPr>
          <w:rFonts w:ascii="Times New Roman" w:hAnsi="Times New Roman" w:cs="Times New Roman"/>
          <w:sz w:val="20"/>
          <w:szCs w:val="20"/>
        </w:rPr>
        <w:t>тавляе</w:t>
      </w:r>
      <w:r w:rsidR="00362D7F">
        <w:rPr>
          <w:rFonts w:ascii="Times New Roman" w:hAnsi="Times New Roman" w:cs="Times New Roman"/>
          <w:sz w:val="20"/>
          <w:szCs w:val="20"/>
        </w:rPr>
        <w:t xml:space="preserve">т </w:t>
      </w:r>
      <w:r w:rsidR="00E21D8C">
        <w:rPr>
          <w:rFonts w:ascii="Times New Roman" w:hAnsi="Times New Roman" w:cs="Times New Roman"/>
          <w:sz w:val="20"/>
          <w:szCs w:val="20"/>
        </w:rPr>
        <w:t xml:space="preserve">  1 490 419,37 рублей (один миллион четыреста девяносто тысяч четыреста девятнадцать рублей 37 копеек</w:t>
      </w:r>
      <w:r w:rsidR="00954EFE">
        <w:rPr>
          <w:rFonts w:ascii="Times New Roman" w:hAnsi="Times New Roman" w:cs="Times New Roman"/>
          <w:sz w:val="20"/>
          <w:szCs w:val="20"/>
        </w:rPr>
        <w:t>)</w:t>
      </w:r>
      <w:r w:rsidR="001D38F7">
        <w:rPr>
          <w:rFonts w:ascii="Times New Roman" w:hAnsi="Times New Roman" w:cs="Times New Roman"/>
          <w:sz w:val="20"/>
          <w:szCs w:val="20"/>
        </w:rPr>
        <w:t>, с учетом</w:t>
      </w:r>
      <w:r w:rsidR="00D33F44">
        <w:rPr>
          <w:rFonts w:ascii="Times New Roman" w:hAnsi="Times New Roman" w:cs="Times New Roman"/>
          <w:sz w:val="20"/>
          <w:szCs w:val="20"/>
        </w:rPr>
        <w:t xml:space="preserve"> </w:t>
      </w:r>
      <w:r w:rsidR="00FF1C81">
        <w:rPr>
          <w:rFonts w:ascii="Times New Roman" w:hAnsi="Times New Roman" w:cs="Times New Roman"/>
          <w:sz w:val="20"/>
          <w:szCs w:val="20"/>
        </w:rPr>
        <w:t xml:space="preserve"> НДС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</w:t>
      </w:r>
      <w:r w:rsidR="00FF1C81">
        <w:rPr>
          <w:rFonts w:ascii="Times New Roman" w:hAnsi="Times New Roman"/>
          <w:sz w:val="20"/>
          <w:szCs w:val="20"/>
        </w:rPr>
        <w:t>иком</w:t>
      </w:r>
      <w:r w:rsidR="005B1F1D" w:rsidRPr="005E6C39">
        <w:rPr>
          <w:rFonts w:ascii="Times New Roman" w:hAnsi="Times New Roman"/>
          <w:sz w:val="20"/>
          <w:szCs w:val="20"/>
        </w:rPr>
        <w:t xml:space="preserve">, и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A15BE" w:rsidRPr="005E6C39">
        <w:rPr>
          <w:rFonts w:ascii="Times New Roman" w:hAnsi="Times New Roman"/>
          <w:sz w:val="20"/>
          <w:szCs w:val="20"/>
        </w:rPr>
        <w:t>порядке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954EF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191 612,57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lastRenderedPageBreak/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1D38F7" w:rsidTr="0006130B"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Pr="005E6C39" w:rsidRDefault="004B6BCF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1D38F7" w:rsidRPr="00417778" w:rsidRDefault="00E21D8C" w:rsidP="00954EFE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ООО «ЗОДИАК»</w:t>
            </w:r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630007г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овосибирск,у л.Серебренниковская,19/1</w:t>
            </w:r>
          </w:p>
          <w:p w:rsidR="00E21D8C" w:rsidRP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 (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>383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285-07-77, 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>2460756, FAX: 8-383-2460756</w:t>
            </w:r>
            <w:r w:rsidRPr="00E21D8C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>ИНН: 5406764101 КПП: 540601001</w:t>
            </w:r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8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>-</w:t>
            </w:r>
            <w:r w:rsidRPr="00E21D8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A7593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petrova</w:t>
              </w:r>
              <w:r w:rsidRPr="00E21D8C">
                <w:rPr>
                  <w:rStyle w:val="a6"/>
                  <w:rFonts w:ascii="Times New Roman" w:hAnsi="Times New Roman"/>
                  <w:sz w:val="20"/>
                  <w:szCs w:val="20"/>
                </w:rPr>
                <w:t>@</w:t>
              </w:r>
              <w:r w:rsidRPr="00A7593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zodiak</w:t>
              </w:r>
              <w:r w:rsidRPr="00E21D8C">
                <w:rPr>
                  <w:rStyle w:val="a6"/>
                  <w:rFonts w:ascii="Times New Roman" w:hAnsi="Times New Roman"/>
                  <w:sz w:val="20"/>
                  <w:szCs w:val="20"/>
                </w:rPr>
                <w:t>-</w:t>
              </w:r>
              <w:r w:rsidRPr="00A7593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nsk</w:t>
              </w:r>
              <w:r w:rsidRPr="00E21D8C"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75937"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 1135476165032  дата н/учет 06.11.13гю</w:t>
            </w:r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 13674579   ОКФС  16</w:t>
            </w:r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 50701000    ОКОПФ  12165</w:t>
            </w:r>
          </w:p>
          <w:p w:rsidR="004B6BCF" w:rsidRDefault="00E21D8C" w:rsidP="004B6BCF">
            <w:pPr>
              <w:pStyle w:val="2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21D8C">
              <w:rPr>
                <w:rFonts w:ascii="Times New Roman" w:hAnsi="Times New Roman"/>
                <w:sz w:val="20"/>
                <w:szCs w:val="20"/>
              </w:rPr>
              <w:t>Рас/с: 40702810500010015444</w:t>
            </w:r>
          </w:p>
          <w:p w:rsidR="00E21D8C" w:rsidRPr="00E21D8C" w:rsidRDefault="004B6BCF" w:rsidP="004B6BCF">
            <w:pPr>
              <w:pStyle w:val="2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E21D8C" w:rsidRPr="00E21D8C">
              <w:rPr>
                <w:rFonts w:ascii="Times New Roman" w:hAnsi="Times New Roman"/>
                <w:sz w:val="20"/>
                <w:szCs w:val="20"/>
              </w:rPr>
              <w:t>НФ АКБ "ЛАНТА-БАНК</w:t>
            </w:r>
            <w:proofErr w:type="gramStart"/>
            <w:r w:rsidR="00E21D8C" w:rsidRPr="00E21D8C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="00E21D8C" w:rsidRPr="00E21D8C">
              <w:rPr>
                <w:rFonts w:ascii="Times New Roman" w:hAnsi="Times New Roman"/>
                <w:sz w:val="20"/>
                <w:szCs w:val="20"/>
              </w:rPr>
              <w:t>ЗАО)</w:t>
            </w:r>
          </w:p>
          <w:p w:rsidR="00E21D8C" w:rsidRPr="00E21D8C" w:rsidRDefault="00E21D8C" w:rsidP="004B6BCF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8C">
              <w:rPr>
                <w:rFonts w:ascii="Times New Roman" w:hAnsi="Times New Roman"/>
                <w:sz w:val="20"/>
                <w:szCs w:val="20"/>
              </w:rPr>
              <w:t>БИК: 045004837</w:t>
            </w:r>
          </w:p>
          <w:p w:rsidR="00E21D8C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D8C">
              <w:rPr>
                <w:rFonts w:ascii="Times New Roman" w:hAnsi="Times New Roman"/>
                <w:sz w:val="20"/>
                <w:szCs w:val="20"/>
              </w:rPr>
              <w:t>Кор/с: 30101810000000000837</w:t>
            </w:r>
          </w:p>
          <w:p w:rsidR="004B6BCF" w:rsidRDefault="004B6BCF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Default="004B6BCF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4B6BCF" w:rsidRDefault="004B6BCF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6BCF" w:rsidRDefault="004B6BCF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А.А.Ананьев</w:t>
            </w:r>
            <w:proofErr w:type="spellEnd"/>
          </w:p>
          <w:p w:rsidR="004B6BCF" w:rsidRPr="00E21D8C" w:rsidRDefault="004B6BCF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подпись</w:t>
            </w:r>
          </w:p>
          <w:p w:rsidR="00E21D8C" w:rsidRPr="001D38F7" w:rsidRDefault="00E21D8C" w:rsidP="00E21D8C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BCF" w:rsidRPr="001D38F7" w:rsidRDefault="004B6BCF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Pr="00417778" w:rsidRDefault="00A27367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7778">
        <w:rPr>
          <w:rFonts w:ascii="Times New Roman" w:hAnsi="Times New Roman"/>
          <w:b/>
          <w:sz w:val="20"/>
          <w:szCs w:val="20"/>
        </w:rPr>
        <w:t>Приложение №</w:t>
      </w:r>
      <w:r w:rsidR="0006130B" w:rsidRPr="00417778">
        <w:rPr>
          <w:rFonts w:ascii="Times New Roman" w:hAnsi="Times New Roman"/>
          <w:b/>
          <w:sz w:val="20"/>
          <w:szCs w:val="20"/>
        </w:rPr>
        <w:t>1 к договору</w:t>
      </w:r>
    </w:p>
    <w:p w:rsidR="00417778" w:rsidRP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7778">
        <w:rPr>
          <w:rFonts w:ascii="Times New Roman" w:hAnsi="Times New Roman"/>
          <w:b/>
          <w:sz w:val="20"/>
          <w:szCs w:val="20"/>
        </w:rPr>
        <w:t>СПЕЦИФИКАЦИЯ</w:t>
      </w:r>
    </w:p>
    <w:tbl>
      <w:tblPr>
        <w:tblW w:w="11228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6488"/>
        <w:gridCol w:w="915"/>
        <w:gridCol w:w="995"/>
        <w:gridCol w:w="933"/>
        <w:gridCol w:w="1440"/>
      </w:tblGrid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/>
                <w:bCs/>
                <w:sz w:val="20"/>
                <w:szCs w:val="20"/>
              </w:rPr>
              <w:t>Товары (работы, услуги)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Грубый ровнитель для пола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В мешках 25кг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Связующее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: цемент с полимерным добавками;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-Размер частиц в порошке: 1,25 мм;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-Расход: 15 кг/м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при толщине слоя 10мм;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-Готовность для пешеходного движения: 24 часа в зависимости от толщины слоя и температуры в помещении;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-Готовность для дальнейших работ: 72 часа в зависимости от толщины слоя и температуры в помещении;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-Предел прочности на сжатие (28 суток): 20 МПа.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52800,00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Бур SDS+ 6,5* 250мм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720,00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Бур SDS+ 6* 250мм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480,00</w:t>
            </w:r>
          </w:p>
        </w:tc>
      </w:tr>
      <w:tr w:rsidR="00D91F73" w:rsidRPr="00D91F73" w:rsidTr="00D91F73">
        <w:trPr>
          <w:trHeight w:val="523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Валик малярный 180 мм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полиакрил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 пластиковой ручкой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Кисть радиаторная ширина 1 1/2*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ДВП  (6,0мм), 1220* 2720 мм.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Цвет светло-коричневый, оттенок по согласованию.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Затирка для плитки влагостойкая белая, антигрибковая, возможность применения в системе «Теплый пол»,  компенсирует возможные дефекты плитки. Марочная прочность М150.Температура проведения работ от +5 до +25С. Ширина шва 5 мм. Расход при ширине шва 4мм 0,5 кг/м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Жизнеспособность раствора 50 минут. Прочность на сжатие 15 МПа. Прочность сцепления с основанием 0,8 МПа. Морозостойкость 50 циклов. Фасовка в мешках по 2кг.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Затирка для плитки влагостойкая серая, антигрибковая, возможность применения в системе «Теплый пол»,  компенсирует возможные дефекты плитки. Марочная прочность М150.Температура проведения работ от +5 до +25С. Ширина 5 мм. Расход при ширине шва 4мм 0,5 кг/м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Жизнеспособность раствора 50 минут. Прочность на сжатие 15 МПа. Прочность сцепления с основанием 0,8 МПа. Морозостойкость 50 циклов. Фасовка в мешках по 2кг.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Керамогранит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светло-серый, формат 300*300, поверхность – неполированная, толщина 8мм. Морозоустойчивый,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экологичный</w:t>
            </w:r>
            <w:proofErr w:type="spellEnd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бактериостатичный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 огнеупорный , не боится органических растворителей , кислот  и  щелочей,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водопоглащение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0,05 %.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202,5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72900,00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Клей для кафеля универсальный Геркулес 25кг. Эластичный клей предназначен для облицовочных работ с керамической плиткой, внутри и снаружи помещений по плотным и пористым минеральным основаниям, с высокой водо- и морозостойкостью. Размер частиц наполнителя 0.63 мм. Толщина клеевого шва 10мм. Жизнеспособность раствора 240 минут. Морозостойкость F35 . Температура эксплуатации клеевого шва от -50С до +60С. Прочность сцепления с бетоном 0,6 МПа. Сползание плитки с вертикальной поверхности 0,5мм. Время корректировки плитки 15 минут. Проведение работ при температуре от +5С, до  +30С.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38000,00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Клинья для кафеля 35х9мм 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Эмаль 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ZODIAK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ПФ-115 белая, глянцевая, в бочках  25кг.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ГОСТ 6465-74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11200,00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Эмаль 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ZODIAK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ПФ-266 красно-коричневая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в бочках 25кг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10400,00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Лист ГКЛ (Пермь) 2,5*1,2*9,5мм, ГОСТ 6266-97 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bCs/>
                <w:sz w:val="20"/>
                <w:szCs w:val="20"/>
              </w:rPr>
              <w:t>Пожарно-технические характеристики</w:t>
            </w:r>
          </w:p>
          <w:p w:rsidR="00D91F73" w:rsidRPr="00D91F73" w:rsidRDefault="00D91F73" w:rsidP="00D91F73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 (горючесть по ГОСТ 30244);</w:t>
            </w:r>
          </w:p>
          <w:p w:rsidR="00D91F73" w:rsidRPr="00D91F73" w:rsidRDefault="00D91F73" w:rsidP="00D91F73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 (воспламеняемость по ГОСТ 30402);</w:t>
            </w:r>
          </w:p>
          <w:p w:rsidR="00D91F73" w:rsidRPr="00D91F73" w:rsidRDefault="00D91F73" w:rsidP="00D91F73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 (дымообразующая способность по ГОСТ 12.1.044);</w:t>
            </w:r>
          </w:p>
          <w:p w:rsidR="00D91F73" w:rsidRPr="00D91F73" w:rsidRDefault="00D91F73" w:rsidP="00D91F73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 (токсичность по ГОСТ 12.1.044).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20400,00</w:t>
            </w:r>
          </w:p>
        </w:tc>
      </w:tr>
      <w:tr w:rsidR="00D91F73" w:rsidRPr="00D91F73" w:rsidTr="00D91F73">
        <w:trPr>
          <w:trHeight w:val="2403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Пена монтажная Реалист Про70л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Номинальный объем баллона: 840 мл.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Рабочая температура поверхности – от +5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до +30°С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Широкий диапазон термостойкости  и влагостойкости– от -40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до +90°С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Класс огнестойкости B3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 xml:space="preserve">Отличная адгезия к большинству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строительным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 xml:space="preserve">Высокие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термо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- и звукоизоляционные свойства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Высокая устойчивость к плесени и влаге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 xml:space="preserve">Затвердевает в диапазоне от -18С  до +35С. 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17500,00</w:t>
            </w:r>
          </w:p>
        </w:tc>
      </w:tr>
      <w:tr w:rsidR="00D91F73" w:rsidRPr="00D91F73" w:rsidTr="00D91F73">
        <w:trPr>
          <w:trHeight w:val="2125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Пистолет для монтажной пены профессиональный.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 Для работы с монтажной пеной в баллонах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 Цельнометаллический корпус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 Латунный игольчатый клапан с тефлоновым покрытием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 Латунный держатель баллонов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• Возможно использование индустриальной тары (бочки) при наличии дополнительного оборудования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1900,00</w:t>
            </w:r>
          </w:p>
        </w:tc>
      </w:tr>
      <w:tr w:rsidR="00D91F73" w:rsidRPr="00D91F73" w:rsidTr="00D91F73">
        <w:trPr>
          <w:trHeight w:val="698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Порог прямой вишня, 38*135.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Мешки полипропиленовые  55*95 см.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Сухая штукатурная смесь на основе цемента, фракционированного песка и специальных добавок в мешках 25 кг. Фракция наполнения 0,63 мм, водоудерживающая способность 98%, жизнеспособность раствора 90 минут, прочность на сжатие 6 МПа. Прочность на изгиб 2МПа. Коэффициент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паропроницаемости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0,1 мг/(м час Па). Морозостойкость 50 циклов. Толщина нанесения  30мм. Марочная прочность М60.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Сухая штукатурная смесь на основе цемента для фасадных работ мешках 25 кг. Фракция наполнения 1,2мм, коэффициент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водопоглащения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(кг/м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) 0,2, плотность штукатурного слоя 1900 кг/м3, марка по прочности М100, насыпная плотность 1700 кг/м3, жизнеспособность раствора 90 мин.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Штукатурная гипсовая  30кг., прочность на сжатие 2,5 МПа, адгезия к бетону 0,3 МПа, водоудерживающая способность 97%, остаток на сите 0,2 мм 20%. Толщина нанесения 30мм.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Шпатлевка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масляно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-клеевая в ведрах 16кг.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Цвет белый, осадка конуса 7см, вязкость по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приборуБрукфильд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, мПа-С 580е3-620е3, массовая доля нелетучих веществ 70, расход на 1кв.м. при толщине слоя 1мм 1,7кг. Температура работ +5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, размер зерна 60 мкм. Морозостойкость 5 циклов.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27900,00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«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Юки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» база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9л (М411)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Совершенно матовая краска на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чистом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акрилатном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связующем, обладает  хорошей стойкостью к очистке и придающая окрашенной поверхности бархатистый эффект. Базис: С. Степень блеска: совершенно матовая. Класс эмиссии  строительного материала: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 40 %. Плотность1,3 кг/л. Время нанесения следующего слоя, ч 4 Расход,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250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5700,00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57000,00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«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Юки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» база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9л (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500)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Совершенно матовая краска на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чистом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акрилатном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связующем,  обладает хорошей стойкостью к очистке и придающая окрашенной поверхности бархатистый эффект. Базис: 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Степень блеска: совершенно матовая. Класс эмиссии  строительного материала: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мытью: выдерживает 5000 проходов щеткой. Стойкость к химикатам: выдерживает чистящие химикаты и слабые растворители. Термостойкость: 85</w:t>
            </w:r>
            <w:r w:rsidRPr="00D91F73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С сухого тепла. Сухой остаток: 40 %. Плотность:  1,3 кг/л. Время нанесения следующего слоя, ч 4 Расход,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250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страны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происхождения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:Ф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инляндия</w:t>
            </w:r>
            <w:proofErr w:type="spellEnd"/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76000,00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«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Юки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» база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9л (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500)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Совершенно матовая краска на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чистом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акрилатном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связующем, обладает хорошей стойкостью к очистке и придающая окрашенной поверхности бархатистый эффект. Базис:  С. Степень блеска: совершенно матовая. Класс эмиссии  строительного материала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мытью: выдерживает 5000 проходов щеткой. Стойкость к химикатам: выдерживает чистящие химикаты и слабые растворители. Термостойкость: 85</w:t>
            </w:r>
            <w:r w:rsidRPr="00D91F73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С сухого тепла. Сухой остаток: 40 %. Плотность:  1,3 кг/л. Время нанесения следующего слоя, ч 4.  Расход,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250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</w:tr>
      <w:tr w:rsidR="00D91F73" w:rsidRPr="00D91F73" w:rsidTr="00D91F73">
        <w:trPr>
          <w:trHeight w:val="77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Пленка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/э 100мкр., (1500*2/100мп)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Угол ПВХ 30*30мм 3,0м белый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Угол ПВХ 40*40мм 3,0м белый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F-профиль пластиковый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белый 60х27х18мм 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- 3м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Сэндвич-панель, размером 3000*1500, толщиной 10мм.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14000,00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Джокер база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9л (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105)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Совершенно матовая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на чистом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акрилатном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связующем, с хорошей стойкостью к очистке, придающая окрашенной поверхности бархатистый эффект. Базис: А. Степень блеска: совершенно матовая. Класс эмиссии  строительного материала: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мытью: 10000 проходов щеткой. Стойкость к чистящим химикатам и слабым растворителям. Термостойкость: 850С сухого тепла. Сухой остаток: 40 %. Плотность: 1,3 кг/л. Время высыхания 30 мин. Время нанесения следующего слоя 2 часа. Расход 140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5350,00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267500,00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Джокер база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9л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Совершенно матовая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на чистом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акрилатном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связующем, с хорошей стойкостью к очистке, придающая окрашенной поверхности бархатистый эффект. Базис: А. Степень блеска: совершенно матовая. Класс эмиссии  строительного материала: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мытью: 10000 проходов щеткой. Стойкость к чистящим химикатам и слабым растворителям. Термостойкость: 850С сухого тепла. Сухой остаток: 40 %. Плотность: 1,3 кг/л. Время высыхания 30 мин. Время нанесения следующего слоя 2 часа. Расход 140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4290,00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21450,00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3,8*25мм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3,8*32мм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3,8*35мм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3,8*41мм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3400,00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3,8*51мм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по дереву 3,8*64мм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гипс-дерево 3,8*75мм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металл-металл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/ш 4,2*13мм,острый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металл-металл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/ш 4,2*25мм,острый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1400,00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Саморез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металл-металл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/ш 4,2*38мм,острый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Лента самоклеящаяся, ширина 50 мм, длина 90 м.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Шпатлевка гипсовая 25 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для  заделки вручную стыков гипсокартонных листов, </w:t>
            </w: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имеющих утонённую, полукруглую утонённую, а также обрезанную с фаской кромку.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Толщина слоя:  3 мм. Размер фракции: 3 мм. Прочность на сжатие: 3.0 мПа. Прочность на изгиб: 1.5  мПа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39200,00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Фанера (10мм) 1,52*1,52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33000,00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Линолеум гетерогенный  коммерческий 3.0м/2,0мм.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Цвет красно-коричневый, оттенок по согласованию.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Электростатические характеристики EN №1815:  2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кВ.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Объемное электрическое сопротивление EN №1081:  10ˆ10 Ом. Вес 1 мкв.: 2,9 кг. Изменение линейных размеров: 0.4%. Абсолютная остаточная деформация: 0.1мм. Дополнительное защитное покрытие: PUR. Сопротивление скольжению: R9. Показатели пожарной безопасности: Г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, В2, РП1, Д2, Т2.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Истираемость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 25 г/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Прочность на поперечный разрыв N  160.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481,00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144300,00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Плинтус с кабель каналом бук натуральный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Длина 2500мм.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Заглушка для плинтуса левая  бук натуральный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Заглушка для плинтуса правая бук натуральный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Угол внутренний для плинтуса бук натуральный 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Угол внешний для плинтуса бук натуральный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Соединитель для плинтуса бук натуральный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Керамическая плитка 20*30 бежевая.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Водопоглащение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10%, предел прочности при изгибе: 15 N/mm2, стойкость к окрашиванию 3 класс, 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200,88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44193,60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Заклепка вытяжная комбинированная 4х8мм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Фреза пазовая насадная с твердосплавными напайками (6 зубов) размер 180х32х10мм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Фреза пазовая насадная с твердосплавными напайками (6 зубов) размер 180х32х12мм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Фреза пазовая насадная с твердосплавными напайками (6 зубов) 200х32х10мм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Фреза пазовая насадная с твердосплавными напайками (6 зубов) 200х32х12мм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3200,00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Фреза пазовая, 2х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лезвиевая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,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-12мм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л.-32мм,хвостовик 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-8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proofErr w:type="spell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Фреза пазовая, 2х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лезвиевая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,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-10мм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л.-25мм,хвостовик </w:t>
            </w: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-8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proofErr w:type="spell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3250,00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3250,00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Диск пильный по дереву 165х20х2мм, 24 зуба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Германия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Холодная Сварка для всех типов ПВХ, стыков линолеума, в тубах 44 мл. Тюбик Тип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предназначен для сплавления покрытий полов из ПВХ с плотно резаным швом (резка внахлёст). Металлическая игла в наконечнике  обеспечивает идеальный прочный шов на стыке. Расход: 44 гр. на 25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. м. шва Время высыхания 25 минут.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D91F73" w:rsidRPr="00D91F73" w:rsidTr="00D91F73">
        <w:trPr>
          <w:trHeight w:val="1607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Эмаль 178  для окон и дверей. Белая. Фасовка 0,9л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Быстросохнущая,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нестекаемая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эмаль.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Без органических растворителей. Без вредного запаха.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Высокая стойкость к истиранию к механическим нагрузкам.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Образовывает высокоэластичное покрытие.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Степень глянца 10 – матовая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Наименование страны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происхождения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оссия</w:t>
            </w:r>
            <w:proofErr w:type="spellEnd"/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1085,00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10850,00</w:t>
            </w:r>
          </w:p>
        </w:tc>
      </w:tr>
      <w:tr w:rsidR="00D91F73" w:rsidRPr="00D91F73" w:rsidTr="00D91F73">
        <w:trPr>
          <w:trHeight w:val="419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Круг отрезной по металлу 230х2,5х22мм А30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D91F73" w:rsidRPr="00D91F73" w:rsidTr="00D91F73">
        <w:trPr>
          <w:trHeight w:val="676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Круг алмазный по бетону и железобетону 230х22мм, сегментный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115,77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115,77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F73" w:rsidRPr="00D91F73" w:rsidTr="00D91F73">
        <w:trPr>
          <w:trHeight w:val="691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Диск отрезной алмазный, сухая и влажная резка, для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180х22,2/20мм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3600,00</w:t>
            </w:r>
          </w:p>
        </w:tc>
      </w:tr>
      <w:tr w:rsidR="00D91F73" w:rsidRPr="00D91F73" w:rsidTr="00D91F73">
        <w:trPr>
          <w:trHeight w:val="450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Диск алмазный  для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180мм 10/50.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Китай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2160,00</w:t>
            </w:r>
          </w:p>
        </w:tc>
      </w:tr>
      <w:tr w:rsidR="00D91F73" w:rsidRPr="00D91F73" w:rsidTr="00D91F73">
        <w:trPr>
          <w:trHeight w:val="465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Скобы для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степлера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№53 прямоугольные, 10мм (уп-1000шт)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91F73" w:rsidRPr="00D91F73" w:rsidTr="00D91F73">
        <w:trPr>
          <w:trHeight w:val="676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Эмаль акриловая для радиаторов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Ливна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134, белая,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полуглянцевая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, фасовка- 0,9 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13500,00</w:t>
            </w:r>
          </w:p>
        </w:tc>
      </w:tr>
      <w:tr w:rsidR="00D91F73" w:rsidRPr="00D91F73" w:rsidTr="00D91F73">
        <w:trPr>
          <w:trHeight w:val="2539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Огне-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защита У-101 10,0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Время высыхания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24 часа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Использовать при температуре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от +10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° до +25 С°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Расход: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Строганая древесина: 12 м²/л, 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Пиленая древесина: 8 м²/л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Срок защиты: 8 лет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Рекомендованное кол-во слоев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3 слоя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Способ нанесения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Валик, Кисть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Подходит для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ab/>
              <w:t>пиленой древесины, строганой древесины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91F73" w:rsidRPr="00D91F73" w:rsidTr="00D91F73">
        <w:trPr>
          <w:trHeight w:val="676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Декоративная радиаторная решетка из ПВХ, размер 600ммХ1200мм, цвет белый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</w:tr>
      <w:tr w:rsidR="00D91F73" w:rsidRPr="00D91F73" w:rsidTr="00D91F73">
        <w:trPr>
          <w:trHeight w:val="5061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Лак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петсилака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орех 1л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Применяется для лакировки мебели, дверей, перил, лестниц.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Степень блеска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Высокоглянцевая</w:t>
            </w:r>
            <w:proofErr w:type="spell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Расход 14 м²/л. Расход лака колеблется в зависимости от требуемого оттенка.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Разбавитель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Уайт-спирит 1050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Способ нанесения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Наносится кистью и распылением.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Время высыхания при +23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ºС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и относительной влажности 50%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От пыли – 4 часа.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Для обращения –12 часов.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Следующий слой лака можно наносить через 24 часа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Стойкость к мытью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Хорошая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при применении обыкновенных моющих средств.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Стойкость к химикатам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Устойчив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уайт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-спириту и хозяйственному спирту, а не устойчив, например, к </w:t>
            </w:r>
            <w:proofErr w:type="spellStart"/>
            <w:r w:rsidRPr="00D91F73">
              <w:rPr>
                <w:rFonts w:ascii="Times New Roman" w:hAnsi="Times New Roman"/>
                <w:sz w:val="20"/>
                <w:szCs w:val="20"/>
              </w:rPr>
              <w:t>нитрорастворителям</w:t>
            </w:r>
            <w:proofErr w:type="spellEnd"/>
            <w:r w:rsidRPr="00D91F73">
              <w:rPr>
                <w:rFonts w:ascii="Times New Roman" w:hAnsi="Times New Roman"/>
                <w:sz w:val="20"/>
                <w:szCs w:val="20"/>
              </w:rPr>
              <w:t>. 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Износостойкость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Хорошая.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</w:tr>
      <w:tr w:rsidR="00D91F73" w:rsidRPr="00D91F73" w:rsidTr="00D91F73">
        <w:trPr>
          <w:trHeight w:val="1408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Краска акриловая интерьерная для стен стойкая к стиранию фасовка в ведрах 14кг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Применяется для внутренних помещений с нормальной влажностью при проведении отделочных работ, на основе акриловых латексов и функциональных добавок. Быстросохнущая. Наполнитель: природный мрамор.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Степень блеска: совершенно матовая. Класс эмиссии  строительного материала: 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. Стойкость к мытью - 5000 проходов щеткой. Стойкость к химикатам  и слабым растворителям. Термостойкость: 85</w:t>
            </w:r>
            <w:r w:rsidRPr="00D91F73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С сухого тепла. Сухой остаток: 40 %. Плотность: 1,3 кг/л.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Время высыхания составляет  2 часа при t +20°C и относительной влажности 65% </w:t>
            </w:r>
            <w:r w:rsidRPr="00D91F73">
              <w:rPr>
                <w:rFonts w:ascii="Times New Roman" w:hAnsi="Times New Roman"/>
                <w:b/>
                <w:bCs/>
                <w:sz w:val="20"/>
                <w:szCs w:val="20"/>
              </w:rPr>
              <w:t>Расход</w:t>
            </w:r>
            <w:r w:rsidRPr="00D91F73">
              <w:rPr>
                <w:rFonts w:ascii="Times New Roman" w:hAnsi="Times New Roman"/>
                <w:sz w:val="20"/>
                <w:szCs w:val="20"/>
              </w:rPr>
              <w:t> краски составляет  150 г/м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 при нанесении в 1 слой.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137500,00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Грунтовка глубокого проникновения, емкость 10кг.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Технические характеристики: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</w: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Состав: водная дисперсия полимеров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Цвет: белая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Плотность: 1,0 кг/дм²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Температура применения: от +5 до +35°С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Время высыхания: 6 часов (в зависимости от условий высыхания)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Вязкость: 10,5 с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Коэффициент сопротивления диффузии водяных паров, µ Н2О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>к. 100</w:t>
            </w:r>
            <w:r w:rsidRPr="00D91F73">
              <w:rPr>
                <w:rFonts w:ascii="Times New Roman" w:hAnsi="Times New Roman"/>
                <w:sz w:val="20"/>
                <w:szCs w:val="20"/>
              </w:rPr>
              <w:br/>
              <w:t>Расход : 0,2 л/м² (в зависимости от впитывающей способности основания)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17400,00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 xml:space="preserve">Морилка неводная, </w:t>
            </w:r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цвет-красное</w:t>
            </w:r>
            <w:proofErr w:type="gramEnd"/>
            <w:r w:rsidRPr="00D91F73">
              <w:rPr>
                <w:rFonts w:ascii="Times New Roman" w:hAnsi="Times New Roman"/>
                <w:sz w:val="20"/>
                <w:szCs w:val="20"/>
              </w:rPr>
              <w:t xml:space="preserve"> дерево, фасовка 0,5л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Морилка неводная, дуб, фасовка 0,5л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 w:rsidR="00D91F73" w:rsidRPr="00D91F73" w:rsidTr="00D91F73">
        <w:trPr>
          <w:trHeight w:val="144"/>
        </w:trPr>
        <w:tc>
          <w:tcPr>
            <w:tcW w:w="457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488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Морилка неводная, орех, фасовка 0,5л</w:t>
            </w:r>
          </w:p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91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91F7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33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440" w:type="dxa"/>
          </w:tcPr>
          <w:p w:rsidR="00D91F73" w:rsidRPr="00D91F73" w:rsidRDefault="00D91F73" w:rsidP="00D91F7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F73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</w:tbl>
    <w:p w:rsidR="004B6BCF" w:rsidRP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7778">
        <w:rPr>
          <w:rFonts w:ascii="Times New Roman" w:hAnsi="Times New Roman"/>
          <w:sz w:val="20"/>
          <w:szCs w:val="20"/>
        </w:rPr>
        <w:t>Итого:  1</w:t>
      </w:r>
      <w:r w:rsidR="00D91F73" w:rsidRPr="0041795C">
        <w:rPr>
          <w:rFonts w:ascii="Times New Roman" w:hAnsi="Times New Roman"/>
          <w:sz w:val="20"/>
          <w:szCs w:val="20"/>
        </w:rPr>
        <w:t>4</w:t>
      </w:r>
      <w:r w:rsidRPr="00417778">
        <w:rPr>
          <w:rFonts w:ascii="Times New Roman" w:hAnsi="Times New Roman"/>
          <w:sz w:val="20"/>
          <w:szCs w:val="20"/>
        </w:rPr>
        <w:t>90 419,37 рублей (один миллион четыреста девяносто тысяч четыреста девятнадцать рублей 37 копеек), в том числе НДС.</w:t>
      </w:r>
    </w:p>
    <w:p w:rsidR="00417778" w:rsidRP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7778" w:rsidRP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7778">
        <w:rPr>
          <w:rFonts w:ascii="Times New Roman" w:hAnsi="Times New Roman"/>
          <w:sz w:val="20"/>
          <w:szCs w:val="20"/>
        </w:rPr>
        <w:t xml:space="preserve">                    Заказчик                                                                                                                 Поставщик</w:t>
      </w:r>
    </w:p>
    <w:p w:rsidR="00417778" w:rsidRP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7778">
        <w:rPr>
          <w:rFonts w:ascii="Times New Roman" w:hAnsi="Times New Roman"/>
          <w:sz w:val="20"/>
          <w:szCs w:val="20"/>
        </w:rPr>
        <w:t xml:space="preserve">Проректор_________________ </w:t>
      </w:r>
      <w:proofErr w:type="spellStart"/>
      <w:r w:rsidRPr="00417778">
        <w:rPr>
          <w:rFonts w:ascii="Times New Roman" w:hAnsi="Times New Roman"/>
          <w:sz w:val="20"/>
          <w:szCs w:val="20"/>
        </w:rPr>
        <w:t>А.А.Новоселов</w:t>
      </w:r>
      <w:proofErr w:type="spellEnd"/>
      <w:r w:rsidRPr="00417778">
        <w:rPr>
          <w:rFonts w:ascii="Times New Roman" w:hAnsi="Times New Roman"/>
          <w:sz w:val="20"/>
          <w:szCs w:val="20"/>
        </w:rPr>
        <w:t xml:space="preserve">                               Директор__________________ </w:t>
      </w:r>
      <w:proofErr w:type="spellStart"/>
      <w:r w:rsidRPr="00417778">
        <w:rPr>
          <w:rFonts w:ascii="Times New Roman" w:hAnsi="Times New Roman"/>
          <w:sz w:val="20"/>
          <w:szCs w:val="20"/>
        </w:rPr>
        <w:t>А.А.Ананьев</w:t>
      </w:r>
      <w:proofErr w:type="spellEnd"/>
    </w:p>
    <w:p w:rsidR="00417778" w:rsidRDefault="0041777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7778"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Электронная подпись</w:t>
      </w:r>
    </w:p>
    <w:p w:rsidR="0041795C" w:rsidRPr="00417778" w:rsidRDefault="0041795C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79E2937" wp14:editId="217CDC8F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41795C" w:rsidRPr="00417778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83FA2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13728"/>
    <w:rsid w:val="00126575"/>
    <w:rsid w:val="001457EC"/>
    <w:rsid w:val="001967D0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51BF5"/>
    <w:rsid w:val="00355864"/>
    <w:rsid w:val="00361214"/>
    <w:rsid w:val="00362D7F"/>
    <w:rsid w:val="00365691"/>
    <w:rsid w:val="00390D18"/>
    <w:rsid w:val="003B71BC"/>
    <w:rsid w:val="003F3630"/>
    <w:rsid w:val="004066E9"/>
    <w:rsid w:val="0040729F"/>
    <w:rsid w:val="00412ECF"/>
    <w:rsid w:val="00415ECA"/>
    <w:rsid w:val="00417778"/>
    <w:rsid w:val="0041795C"/>
    <w:rsid w:val="00422FB1"/>
    <w:rsid w:val="00426A44"/>
    <w:rsid w:val="0044336E"/>
    <w:rsid w:val="00481107"/>
    <w:rsid w:val="00486EC1"/>
    <w:rsid w:val="00490E6E"/>
    <w:rsid w:val="004A15BE"/>
    <w:rsid w:val="004B6BCF"/>
    <w:rsid w:val="004C3DEA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66B97"/>
    <w:rsid w:val="00796F6A"/>
    <w:rsid w:val="00796FAC"/>
    <w:rsid w:val="007B6D5C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371C7"/>
    <w:rsid w:val="00954EFE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73810"/>
    <w:rsid w:val="00B97AA7"/>
    <w:rsid w:val="00BB319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713BB"/>
    <w:rsid w:val="00D76F09"/>
    <w:rsid w:val="00D83893"/>
    <w:rsid w:val="00D91F73"/>
    <w:rsid w:val="00DB6D65"/>
    <w:rsid w:val="00DB734C"/>
    <w:rsid w:val="00DE065A"/>
    <w:rsid w:val="00DE49F0"/>
    <w:rsid w:val="00E0470F"/>
    <w:rsid w:val="00E15129"/>
    <w:rsid w:val="00E21D8C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zodiak-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020F-1D6E-4962-8B44-3CF0A1A5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16</cp:revision>
  <cp:lastPrinted>2015-07-06T06:32:00Z</cp:lastPrinted>
  <dcterms:created xsi:type="dcterms:W3CDTF">2014-04-28T08:05:00Z</dcterms:created>
  <dcterms:modified xsi:type="dcterms:W3CDTF">2015-12-19T02:33:00Z</dcterms:modified>
</cp:coreProperties>
</file>