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EB" w:rsidRPr="009701E9" w:rsidRDefault="006931EB" w:rsidP="006931EB">
      <w:pPr>
        <w:keepNext/>
        <w:spacing w:after="0" w:line="240" w:lineRule="auto"/>
        <w:jc w:val="center"/>
        <w:outlineLvl w:val="0"/>
        <w:rPr>
          <w:rFonts w:ascii="Times New Roman" w:eastAsia="Times New Roman" w:hAnsi="Times New Roman" w:cs="Times New Roman"/>
          <w:b/>
          <w:bCs/>
          <w:kern w:val="28"/>
          <w:sz w:val="20"/>
          <w:szCs w:val="20"/>
        </w:rPr>
      </w:pPr>
      <w:r w:rsidRPr="009701E9">
        <w:rPr>
          <w:rFonts w:ascii="Times New Roman" w:eastAsia="Times New Roman" w:hAnsi="Times New Roman" w:cs="Times New Roman"/>
          <w:b/>
          <w:bCs/>
          <w:kern w:val="28"/>
          <w:sz w:val="20"/>
          <w:szCs w:val="20"/>
        </w:rPr>
        <w:t>ДОГОВОР № _____</w:t>
      </w:r>
    </w:p>
    <w:p w:rsidR="006931EB" w:rsidRPr="009701E9" w:rsidRDefault="006931EB" w:rsidP="006931EB">
      <w:pPr>
        <w:suppressAutoHyphens/>
        <w:jc w:val="center"/>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на поставку товаров</w:t>
      </w:r>
    </w:p>
    <w:p w:rsidR="006931EB" w:rsidRPr="009701E9" w:rsidRDefault="006931EB" w:rsidP="006931EB">
      <w:pPr>
        <w:suppressAutoHyphens/>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г. Новосибирск                                                                                             </w:t>
      </w:r>
      <w:r w:rsidR="00FB7343">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«___»  __________ 2016 г.</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sidR="00647F11">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sidR="00647F11">
        <w:rPr>
          <w:rFonts w:ascii="Times New Roman" w:eastAsia="Times New Roman" w:hAnsi="Times New Roman" w:cs="Times New Roman"/>
          <w:kern w:val="1"/>
          <w:sz w:val="20"/>
          <w:szCs w:val="20"/>
          <w:lang w:eastAsia="ar-SA"/>
        </w:rPr>
        <w:t>го на основании доверенности № 4</w:t>
      </w:r>
      <w:r w:rsidRPr="009701E9">
        <w:rPr>
          <w:rFonts w:ascii="Times New Roman" w:eastAsia="Times New Roman" w:hAnsi="Times New Roman" w:cs="Times New Roman"/>
          <w:kern w:val="1"/>
          <w:sz w:val="20"/>
          <w:szCs w:val="20"/>
          <w:lang w:eastAsia="ar-SA"/>
        </w:rPr>
        <w:t xml:space="preserve"> от 01/03.2016г., с одной стороны, и </w:t>
      </w:r>
      <w:r w:rsidR="00563CB8">
        <w:rPr>
          <w:rFonts w:ascii="Times New Roman" w:eastAsia="Times New Roman" w:hAnsi="Times New Roman" w:cs="Times New Roman"/>
          <w:b/>
          <w:kern w:val="1"/>
          <w:sz w:val="20"/>
          <w:szCs w:val="20"/>
          <w:lang w:eastAsia="ar-SA"/>
        </w:rPr>
        <w:t xml:space="preserve"> Общество с ограниченной ответственностью «</w:t>
      </w:r>
      <w:proofErr w:type="spellStart"/>
      <w:r w:rsidR="00563CB8">
        <w:rPr>
          <w:rFonts w:ascii="Times New Roman" w:eastAsia="Times New Roman" w:hAnsi="Times New Roman" w:cs="Times New Roman"/>
          <w:b/>
          <w:kern w:val="1"/>
          <w:sz w:val="20"/>
          <w:szCs w:val="20"/>
          <w:lang w:eastAsia="ar-SA"/>
        </w:rPr>
        <w:t>Трейдсервис</w:t>
      </w:r>
      <w:proofErr w:type="spellEnd"/>
      <w:r w:rsidR="00563CB8">
        <w:rPr>
          <w:rFonts w:ascii="Times New Roman" w:eastAsia="Times New Roman" w:hAnsi="Times New Roman" w:cs="Times New Roman"/>
          <w:b/>
          <w:kern w:val="1"/>
          <w:sz w:val="20"/>
          <w:szCs w:val="20"/>
          <w:lang w:eastAsia="ar-SA"/>
        </w:rPr>
        <w:t>»</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sidR="00563CB8">
        <w:rPr>
          <w:rFonts w:ascii="Times New Roman" w:eastAsia="Times New Roman" w:hAnsi="Times New Roman" w:cs="Times New Roman"/>
          <w:kern w:val="2"/>
          <w:sz w:val="20"/>
          <w:szCs w:val="20"/>
          <w:lang w:eastAsia="ar-SA"/>
        </w:rPr>
        <w:t xml:space="preserve"> директора Зорина Владислава Леонидовича</w:t>
      </w:r>
      <w:r w:rsidRPr="009701E9">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w:t>
      </w:r>
      <w:proofErr w:type="gramEnd"/>
      <w:r w:rsidRPr="009701E9">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путем проведения электронного а</w:t>
      </w:r>
      <w:r w:rsidR="00647F11">
        <w:rPr>
          <w:rFonts w:ascii="Times New Roman" w:eastAsia="Times New Roman" w:hAnsi="Times New Roman" w:cs="Times New Roman"/>
          <w:kern w:val="1"/>
          <w:sz w:val="20"/>
          <w:szCs w:val="20"/>
          <w:lang w:eastAsia="ar-SA"/>
        </w:rPr>
        <w:t>укциона №ЭА-29</w:t>
      </w:r>
      <w:r w:rsidR="00563CB8">
        <w:rPr>
          <w:rFonts w:ascii="Times New Roman" w:eastAsia="Times New Roman" w:hAnsi="Times New Roman" w:cs="Times New Roman"/>
          <w:kern w:val="1"/>
          <w:sz w:val="20"/>
          <w:szCs w:val="20"/>
          <w:lang w:eastAsia="ar-SA"/>
        </w:rPr>
        <w:t>/ 0351100001716000080</w:t>
      </w:r>
      <w:r w:rsidRPr="009701E9">
        <w:rPr>
          <w:rFonts w:ascii="Times New Roman" w:eastAsia="Times New Roman" w:hAnsi="Times New Roman" w:cs="Times New Roman"/>
          <w:kern w:val="1"/>
          <w:sz w:val="20"/>
          <w:szCs w:val="20"/>
          <w:lang w:eastAsia="ar-SA"/>
        </w:rPr>
        <w:t>, на</w:t>
      </w:r>
      <w:r w:rsidR="00563CB8">
        <w:rPr>
          <w:rFonts w:ascii="Times New Roman" w:eastAsia="Times New Roman" w:hAnsi="Times New Roman" w:cs="Times New Roman"/>
          <w:kern w:val="1"/>
          <w:sz w:val="20"/>
          <w:szCs w:val="20"/>
          <w:lang w:eastAsia="ar-SA"/>
        </w:rPr>
        <w:t xml:space="preserve"> основании протокола рассмотрения единственной заявки на участие в электронном аукционе от 22.08.2016г.</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931EB" w:rsidRPr="009701E9" w:rsidRDefault="006931EB" w:rsidP="006931EB">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647F11">
        <w:rPr>
          <w:rFonts w:ascii="Times New Roman" w:eastAsia="Times New Roman" w:hAnsi="Times New Roman" w:cs="Times New Roman"/>
          <w:kern w:val="1"/>
          <w:sz w:val="20"/>
          <w:szCs w:val="20"/>
          <w:lang w:eastAsia="ar-SA"/>
        </w:rPr>
        <w:t>комплектующих для  персональных компьютеров</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sidR="00647F11">
        <w:rPr>
          <w:rFonts w:ascii="Times New Roman" w:eastAsia="Times New Roman" w:hAnsi="Times New Roman" w:cs="Times New Roman"/>
          <w:kern w:val="1"/>
          <w:sz w:val="20"/>
          <w:szCs w:val="20"/>
          <w:lang w:eastAsia="ar-SA"/>
        </w:rPr>
        <w:t>поставляет комплектующие для персональных компьютеров</w:t>
      </w:r>
      <w:r w:rsidRPr="006931EB">
        <w:rPr>
          <w:rFonts w:ascii="Times New Roman" w:eastAsia="Times New Roman" w:hAnsi="Times New Roman" w:cs="Times New Roman"/>
          <w:kern w:val="1"/>
          <w:sz w:val="20"/>
          <w:szCs w:val="20"/>
          <w:lang w:eastAsia="ar-SA"/>
        </w:rPr>
        <w:t xml:space="preserve"> для Новосибирского техникума железнодорожного транспорта</w:t>
      </w:r>
      <w:r w:rsidR="00647F11">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sidR="00647F11">
        <w:rPr>
          <w:rFonts w:ascii="Times New Roman" w:eastAsia="Times New Roman" w:hAnsi="Times New Roman" w:cs="Times New Roman"/>
          <w:kern w:val="1"/>
          <w:sz w:val="20"/>
          <w:szCs w:val="20"/>
          <w:lang w:eastAsia="ar-SA"/>
        </w:rPr>
        <w:t>структурного подразделения Заказчика</w:t>
      </w:r>
      <w:r w:rsidRPr="009701E9">
        <w:rPr>
          <w:rFonts w:ascii="Times New Roman" w:eastAsia="Times New Roman" w:hAnsi="Times New Roman" w:cs="Times New Roman"/>
          <w:kern w:val="1"/>
          <w:sz w:val="20"/>
          <w:szCs w:val="20"/>
          <w:lang w:eastAsia="ar-SA"/>
        </w:rPr>
        <w:t xml:space="preserve"> в количестве </w:t>
      </w:r>
      <w:r>
        <w:rPr>
          <w:rFonts w:ascii="Times New Roman" w:eastAsia="Times New Roman" w:hAnsi="Times New Roman" w:cs="Times New Roman"/>
          <w:kern w:val="1"/>
          <w:sz w:val="20"/>
          <w:szCs w:val="20"/>
          <w:lang w:eastAsia="ar-SA"/>
        </w:rPr>
        <w:t>138</w:t>
      </w:r>
      <w:r w:rsidRPr="009701E9">
        <w:rPr>
          <w:rFonts w:ascii="Times New Roman" w:eastAsia="Times New Roman" w:hAnsi="Times New Roman" w:cs="Times New Roman"/>
          <w:kern w:val="1"/>
          <w:sz w:val="20"/>
          <w:szCs w:val="20"/>
          <w:lang w:eastAsia="ar-SA"/>
        </w:rPr>
        <w:t xml:space="preserve"> единиц.</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1.3. Поставщик </w:t>
      </w:r>
      <w:r>
        <w:rPr>
          <w:rFonts w:ascii="Times New Roman" w:eastAsia="Times New Roman" w:hAnsi="Times New Roman" w:cs="Times New Roman"/>
          <w:kern w:val="1"/>
          <w:sz w:val="20"/>
          <w:szCs w:val="20"/>
          <w:lang w:eastAsia="ar-SA"/>
        </w:rPr>
        <w:t>поставляет товар</w:t>
      </w:r>
      <w:r w:rsidR="00647F11">
        <w:rPr>
          <w:rFonts w:ascii="Times New Roman" w:eastAsia="Times New Roman" w:hAnsi="Times New Roman" w:cs="Times New Roman"/>
          <w:kern w:val="1"/>
          <w:sz w:val="20"/>
          <w:szCs w:val="20"/>
          <w:lang w:eastAsia="ar-SA"/>
        </w:rPr>
        <w:t xml:space="preserve"> по месту нахождения НТЖТ </w:t>
      </w:r>
      <w:r>
        <w:rPr>
          <w:rFonts w:ascii="Times New Roman" w:eastAsia="Times New Roman" w:hAnsi="Times New Roman" w:cs="Times New Roman"/>
          <w:kern w:val="1"/>
          <w:sz w:val="20"/>
          <w:szCs w:val="20"/>
          <w:lang w:eastAsia="ar-SA"/>
        </w:rPr>
        <w:t xml:space="preserve">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w:t>
      </w:r>
      <w:r w:rsidR="00FB7343">
        <w:rPr>
          <w:rFonts w:ascii="Times New Roman" w:eastAsia="Times New Roman" w:hAnsi="Times New Roman" w:cs="Times New Roman"/>
          <w:kern w:val="1"/>
          <w:sz w:val="20"/>
          <w:szCs w:val="20"/>
          <w:lang w:eastAsia="ar-SA"/>
        </w:rPr>
        <w:t xml:space="preserve"> (учебный корпус).</w:t>
      </w:r>
    </w:p>
    <w:p w:rsidR="006931EB" w:rsidRPr="009701E9"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1.4.Наименование, технические и качественные характеристики,</w:t>
      </w:r>
      <w:r w:rsidR="00647F11">
        <w:rPr>
          <w:rFonts w:ascii="Times New Roman" w:eastAsia="Times New Roman" w:hAnsi="Times New Roman" w:cs="Times New Roman"/>
          <w:kern w:val="1"/>
          <w:sz w:val="20"/>
          <w:szCs w:val="20"/>
          <w:lang w:eastAsia="ar-SA"/>
        </w:rPr>
        <w:t xml:space="preserve"> количество и  цена поставляемых комплектующих для персональных компьютеров (далее – товар)</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roofErr w:type="gramEnd"/>
    </w:p>
    <w:p w:rsidR="006931EB" w:rsidRDefault="006931EB"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2A47C6" w:rsidRPr="009701E9" w:rsidRDefault="002A47C6" w:rsidP="006931EB">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r w:rsidRPr="002A47C6">
        <w:rPr>
          <w:rFonts w:ascii="Times New Roman" w:eastAsia="Times New Roman" w:hAnsi="Times New Roman" w:cs="Times New Roman"/>
          <w:sz w:val="20"/>
          <w:szCs w:val="20"/>
        </w:rPr>
        <w:t xml:space="preserve"> </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6931EB" w:rsidRPr="009701E9" w:rsidRDefault="006931EB" w:rsidP="006931EB">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6931EB" w:rsidRPr="009701E9" w:rsidRDefault="006931EB" w:rsidP="006931E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6931EB" w:rsidRPr="009701E9" w:rsidRDefault="006931EB" w:rsidP="006931EB">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r w:rsidR="00875F27">
        <w:rPr>
          <w:rFonts w:ascii="Times New Roman" w:eastAsia="Times New Roman" w:hAnsi="Times New Roman" w:cs="Times New Roman"/>
          <w:kern w:val="1"/>
          <w:sz w:val="20"/>
          <w:szCs w:val="20"/>
          <w:lang w:eastAsia="ar-SA"/>
        </w:rPr>
        <w:t xml:space="preserve"> 212 630,53 рублей (двести двенадцать тысяч шестьсот тридцать рублей 53 копейки</w:t>
      </w:r>
      <w:r w:rsidR="00875F27">
        <w:rPr>
          <w:rFonts w:ascii="Times New Roman" w:eastAsia="Times New Roman" w:hAnsi="Times New Roman" w:cs="Times New Roman"/>
          <w:kern w:val="2"/>
          <w:sz w:val="20"/>
          <w:szCs w:val="20"/>
          <w:lang w:eastAsia="ar-SA"/>
        </w:rPr>
        <w:t xml:space="preserve">), с учетом </w:t>
      </w:r>
      <w:r w:rsidR="008F0553">
        <w:rPr>
          <w:rFonts w:ascii="Times New Roman" w:eastAsia="Times New Roman" w:hAnsi="Times New Roman" w:cs="Times New Roman"/>
          <w:kern w:val="2"/>
          <w:sz w:val="20"/>
          <w:szCs w:val="20"/>
          <w:lang w:eastAsia="ar-SA"/>
        </w:rPr>
        <w:t xml:space="preserve"> НДС.</w:t>
      </w:r>
    </w:p>
    <w:p w:rsidR="006931EB" w:rsidRPr="009701E9" w:rsidRDefault="006931EB" w:rsidP="006931EB">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В случае</w:t>
      </w:r>
      <w:proofErr w:type="gramStart"/>
      <w:r w:rsidRPr="009701E9">
        <w:rPr>
          <w:rFonts w:ascii="Times New Roman" w:eastAsia="DejaVu Sans" w:hAnsi="Times New Roman" w:cs="font190"/>
          <w:kern w:val="1"/>
          <w:sz w:val="20"/>
          <w:szCs w:val="20"/>
          <w:lang w:eastAsia="ar-SA"/>
        </w:rPr>
        <w:t>,</w:t>
      </w:r>
      <w:proofErr w:type="gramEnd"/>
      <w:r w:rsidRPr="009701E9">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647F11">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sidR="00647F11">
        <w:rPr>
          <w:rFonts w:ascii="Times New Roman" w:eastAsia="DejaVu Sans" w:hAnsi="Times New Roman" w:cs="Times New Roman"/>
          <w:kern w:val="1"/>
          <w:sz w:val="20"/>
          <w:szCs w:val="20"/>
          <w:lang w:eastAsia="ar-SA"/>
        </w:rPr>
        <w:t>ъем на этаж</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701E9">
        <w:rPr>
          <w:rFonts w:ascii="Times New Roman" w:eastAsia="DejaVu Sans" w:hAnsi="Times New Roman" w:cs="font185"/>
          <w:kern w:val="1"/>
          <w:sz w:val="20"/>
          <w:szCs w:val="20"/>
          <w:lang w:eastAsia="ar-SA"/>
        </w:rPr>
        <w:t xml:space="preserve"> :</w:t>
      </w:r>
      <w:proofErr w:type="gramEnd"/>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931EB" w:rsidRPr="009701E9" w:rsidRDefault="006931EB" w:rsidP="006931EB">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sidR="00647F11">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15 (пятнадцати) дней со дня заключения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месту его доставки согласно п.1.3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производится телефонограммой, направленной начальнику службы информатизации НТЖТ - Блохиной Е.В. т. 338-32-62</w:t>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00143928" w:rsidRPr="00143928">
        <w:rPr>
          <w:rFonts w:ascii="Times New Roman" w:eastAsia="Times New Roman" w:hAnsi="Times New Roman" w:cs="Times New Roman"/>
          <w:kern w:val="1"/>
          <w:sz w:val="20"/>
          <w:szCs w:val="20"/>
          <w:lang w:eastAsia="ar-SA"/>
        </w:rPr>
        <w:t>Поставляемый товар должен быть новым (не находиться ранее в эксплуатации), с датой выпуска не ранее 2015 г</w:t>
      </w:r>
      <w:proofErr w:type="gramStart"/>
      <w:r w:rsidR="00143928" w:rsidRPr="00143928">
        <w:rPr>
          <w:rFonts w:ascii="Times New Roman" w:eastAsia="Times New Roman" w:hAnsi="Times New Roman" w:cs="Times New Roman"/>
          <w:kern w:val="1"/>
          <w:sz w:val="20"/>
          <w:szCs w:val="20"/>
          <w:lang w:eastAsia="ar-SA"/>
        </w:rPr>
        <w:t xml:space="preserve"> </w:t>
      </w:r>
      <w:r w:rsidR="00143928">
        <w:rPr>
          <w:rFonts w:ascii="Times New Roman" w:eastAsia="Times New Roman" w:hAnsi="Times New Roman" w:cs="Times New Roman"/>
          <w:kern w:val="1"/>
          <w:sz w:val="20"/>
          <w:szCs w:val="20"/>
          <w:lang w:eastAsia="ar-SA"/>
        </w:rPr>
        <w:t>,</w:t>
      </w:r>
      <w:proofErr w:type="gramEnd"/>
      <w:r w:rsidR="00143928">
        <w:rPr>
          <w:rFonts w:ascii="Times New Roman" w:eastAsia="Times New Roman" w:hAnsi="Times New Roman" w:cs="Times New Roman"/>
          <w:kern w:val="1"/>
          <w:sz w:val="20"/>
          <w:szCs w:val="20"/>
          <w:lang w:eastAsia="ar-SA"/>
        </w:rPr>
        <w:t xml:space="preserve"> 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 действующим законодательством.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3.12. .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931EB" w:rsidRPr="009701E9" w:rsidRDefault="006931EB" w:rsidP="006931E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w:t>
      </w:r>
      <w:r>
        <w:rPr>
          <w:rFonts w:ascii="Times New Roman" w:eastAsia="Times New Roman" w:hAnsi="Times New Roman" w:cs="Times New Roman"/>
          <w:kern w:val="1"/>
          <w:sz w:val="20"/>
          <w:szCs w:val="20"/>
          <w:lang w:eastAsia="ar-SA"/>
        </w:rPr>
        <w:t>не менее 36 месяцев,</w:t>
      </w:r>
      <w:r w:rsidRPr="006931EB">
        <w:rPr>
          <w:rFonts w:ascii="Times New Roman" w:eastAsia="Times New Roman" w:hAnsi="Times New Roman" w:cs="Times New Roman"/>
          <w:kern w:val="1"/>
          <w:sz w:val="20"/>
          <w:szCs w:val="20"/>
          <w:lang w:eastAsia="ar-SA"/>
        </w:rPr>
        <w:t xml:space="preserve">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6931EB" w:rsidRPr="009701E9" w:rsidRDefault="006931EB" w:rsidP="006931E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6931EB" w:rsidRDefault="006931EB" w:rsidP="00FB73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5.4. </w:t>
      </w:r>
      <w:r w:rsidRPr="00FB7343">
        <w:rPr>
          <w:rFonts w:ascii="Times New Roman" w:eastAsia="Times New Roman" w:hAnsi="Times New Roman" w:cs="Times New Roman"/>
          <w:kern w:val="1"/>
          <w:sz w:val="20"/>
          <w:szCs w:val="20"/>
          <w:lang w:eastAsia="ar-SA"/>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B7343" w:rsidRPr="00FB7343" w:rsidRDefault="00FB7343" w:rsidP="00FB73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5.5. </w:t>
      </w:r>
      <w:r w:rsidRPr="00FB7343">
        <w:rPr>
          <w:rFonts w:ascii="Times New Roman" w:eastAsia="Times New Roman" w:hAnsi="Times New Roman" w:cs="Times New Roman"/>
          <w:kern w:val="1"/>
          <w:sz w:val="20"/>
          <w:szCs w:val="20"/>
          <w:lang w:eastAsia="ar-SA"/>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B7343" w:rsidRPr="00FB7343" w:rsidRDefault="00FB7343" w:rsidP="00FB73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5.6. </w:t>
      </w:r>
      <w:r w:rsidRPr="00FB7343">
        <w:rPr>
          <w:rFonts w:ascii="Times New Roman" w:eastAsia="Times New Roman" w:hAnsi="Times New Roman" w:cs="Times New Roman"/>
          <w:kern w:val="1"/>
          <w:sz w:val="20"/>
          <w:szCs w:val="20"/>
          <w:lang w:eastAsia="ar-SA"/>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B7343" w:rsidRPr="00FB7343" w:rsidRDefault="00FB7343" w:rsidP="00FB73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6.2.В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6.3..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proofErr w:type="gramEnd"/>
      <w:r w:rsidRPr="009701E9">
        <w:rPr>
          <w:rFonts w:ascii="Times New Roman" w:eastAsia="Times New Roman" w:hAnsi="Times New Roman" w:cs="Times New Roman"/>
          <w:kern w:val="1"/>
          <w:sz w:val="20"/>
          <w:szCs w:val="20"/>
          <w:lang w:eastAsia="ar-SA"/>
        </w:rPr>
        <w:t xml:space="preserve"> формуле: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
          <w:kern w:val="1"/>
          <w:sz w:val="20"/>
          <w:szCs w:val="20"/>
          <w:lang w:eastAsia="ar-SA"/>
        </w:rPr>
        <w:t>П = (Ц - В) x</w:t>
      </w:r>
      <w:proofErr w:type="gramStart"/>
      <w:r w:rsidRPr="009701E9">
        <w:rPr>
          <w:rFonts w:ascii="Times New Roman" w:eastAsia="Times New Roman" w:hAnsi="Times New Roman" w:cs="Times New Roman"/>
          <w:b/>
          <w:kern w:val="1"/>
          <w:sz w:val="20"/>
          <w:szCs w:val="20"/>
          <w:lang w:eastAsia="ar-SA"/>
        </w:rPr>
        <w:t xml:space="preserve"> С</w:t>
      </w:r>
      <w:proofErr w:type="gramEnd"/>
      <w:r w:rsidRPr="009701E9">
        <w:rPr>
          <w:rFonts w:ascii="Times New Roman" w:eastAsia="Times New Roman" w:hAnsi="Times New Roman" w:cs="Times New Roman"/>
          <w:kern w:val="1"/>
          <w:sz w:val="20"/>
          <w:szCs w:val="20"/>
          <w:lang w:eastAsia="ar-SA"/>
        </w:rPr>
        <w:t xml:space="preserve">,  где:    </w:t>
      </w:r>
      <w:proofErr w:type="gramStart"/>
      <w:r w:rsidRPr="009701E9">
        <w:rPr>
          <w:rFonts w:ascii="Times New Roman" w:eastAsia="Times New Roman" w:hAnsi="Times New Roman" w:cs="Times New Roman"/>
          <w:kern w:val="1"/>
          <w:sz w:val="20"/>
          <w:szCs w:val="20"/>
          <w:lang w:eastAsia="ar-SA"/>
        </w:rPr>
        <w:t>Ц</w:t>
      </w:r>
      <w:proofErr w:type="gramEnd"/>
      <w:r w:rsidRPr="009701E9">
        <w:rPr>
          <w:rFonts w:ascii="Times New Roman" w:eastAsia="Times New Roman" w:hAnsi="Times New Roman" w:cs="Times New Roman"/>
          <w:kern w:val="1"/>
          <w:sz w:val="20"/>
          <w:szCs w:val="20"/>
          <w:lang w:eastAsia="ar-SA"/>
        </w:rPr>
        <w:t xml:space="preserve"> - цена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С - размер ставки.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Размер ставки определяется по формуле:  </w:t>
      </w:r>
      <w:r w:rsidRPr="009701E9">
        <w:rPr>
          <w:rFonts w:ascii="Times New Roman" w:eastAsia="Times New Roman" w:hAnsi="Times New Roman" w:cs="Times New Roman"/>
          <w:noProof/>
          <w:kern w:val="1"/>
          <w:sz w:val="20"/>
          <w:szCs w:val="20"/>
        </w:rPr>
        <w:drawing>
          <wp:inline distT="0" distB="0" distL="0" distR="0">
            <wp:extent cx="9906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где: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noProof/>
          <w:kern w:val="1"/>
          <w:sz w:val="20"/>
          <w:szCs w:val="20"/>
        </w:rPr>
        <w:drawing>
          <wp:inline distT="0" distB="0" distL="0" distR="0">
            <wp:extent cx="266700" cy="257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ДП - количество дней просрочки.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Коэффициент</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xml:space="preserve"> определяется по формуле:</w:t>
      </w:r>
      <w:r w:rsidRPr="009701E9">
        <w:rPr>
          <w:rFonts w:ascii="Times New Roman" w:eastAsia="Times New Roman" w:hAnsi="Times New Roman" w:cs="Times New Roman"/>
          <w:noProof/>
          <w:kern w:val="1"/>
          <w:sz w:val="20"/>
          <w:szCs w:val="20"/>
        </w:rPr>
        <w:drawing>
          <wp:inline distT="0" distB="0" distL="0" distR="0">
            <wp:extent cx="1181100"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9701E9">
        <w:rPr>
          <w:rFonts w:ascii="Times New Roman" w:eastAsia="Times New Roman" w:hAnsi="Times New Roman" w:cs="Times New Roman"/>
          <w:kern w:val="1"/>
          <w:sz w:val="20"/>
          <w:szCs w:val="20"/>
          <w:lang w:eastAsia="ar-SA"/>
        </w:rPr>
        <w:t>,</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где: ДП - количество дней просрочки;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931EB" w:rsidRPr="009701E9" w:rsidRDefault="006931EB" w:rsidP="00647F1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При</w:t>
      </w:r>
      <w:proofErr w:type="gramStart"/>
      <w:r w:rsidRPr="009701E9">
        <w:rPr>
          <w:rFonts w:ascii="Times New Roman" w:eastAsia="Times New Roman" w:hAnsi="Times New Roman" w:cs="Times New Roman"/>
          <w:kern w:val="1"/>
          <w:sz w:val="20"/>
          <w:szCs w:val="20"/>
          <w:lang w:eastAsia="ar-SA"/>
        </w:rPr>
        <w:t xml:space="preserve"> К</w:t>
      </w:r>
      <w:proofErr w:type="gramEnd"/>
      <w:r w:rsidRPr="009701E9">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931EB" w:rsidRPr="009701E9" w:rsidRDefault="006931EB" w:rsidP="006931EB">
      <w:pPr>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6.4.</w:t>
      </w:r>
      <w:r w:rsidRPr="009701E9">
        <w:rPr>
          <w:rFonts w:ascii="Times New Roman" w:hAnsi="Times New Roman" w:cs="Times New Roman"/>
          <w:sz w:val="20"/>
          <w:szCs w:val="20"/>
        </w:rPr>
        <w:t xml:space="preserve"> В случае ненадлежащего исполнения Поставщиком </w:t>
      </w:r>
      <w:r w:rsidRPr="009701E9">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 xml:space="preserve">7. Обеспечение исполнения контракта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7.1 Размер обеспечения исполнения настоящего договора установлен в сумме </w:t>
      </w:r>
      <w:r w:rsidR="00647F11">
        <w:rPr>
          <w:sz w:val="21"/>
          <w:szCs w:val="21"/>
        </w:rPr>
        <w:t>21 263,05</w:t>
      </w:r>
      <w:r w:rsidR="00FB7343" w:rsidRPr="00647F11">
        <w:rPr>
          <w:sz w:val="21"/>
          <w:szCs w:val="21"/>
        </w:rPr>
        <w:t xml:space="preserve"> </w:t>
      </w:r>
      <w:r w:rsidRPr="009701E9">
        <w:rPr>
          <w:rFonts w:ascii="Times New Roman" w:hAnsi="Times New Roman" w:cs="Times New Roman"/>
          <w:sz w:val="20"/>
          <w:szCs w:val="20"/>
        </w:rPr>
        <w:t xml:space="preserve">рублей.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неисполнения Поставщиком условий договора полностью или в части</w:t>
      </w:r>
    </w:p>
    <w:p w:rsidR="006931EB" w:rsidRPr="009701E9" w:rsidRDefault="006931EB" w:rsidP="006931E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701E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8. Обстоятельства непреодолимой силы</w:t>
      </w:r>
    </w:p>
    <w:p w:rsidR="006931EB" w:rsidRPr="009701E9" w:rsidRDefault="006931EB" w:rsidP="006931EB">
      <w:pPr>
        <w:tabs>
          <w:tab w:val="left" w:pos="1496"/>
        </w:tabs>
        <w:suppressAutoHyphens/>
        <w:spacing w:after="0" w:line="240" w:lineRule="auto"/>
        <w:jc w:val="both"/>
        <w:rPr>
          <w:rFonts w:ascii="Times New Roman" w:eastAsia="Times New Roman" w:hAnsi="Times New Roman" w:cs="Times New Roman"/>
          <w:sz w:val="20"/>
          <w:szCs w:val="20"/>
          <w:lang w:eastAsia="ar-SA"/>
        </w:rPr>
      </w:pPr>
      <w:proofErr w:type="gramStart"/>
      <w:r w:rsidRPr="009701E9">
        <w:rPr>
          <w:rFonts w:ascii="Times New Roman" w:eastAsia="Times New Roman" w:hAnsi="Times New Roman" w:cs="Times New Roman"/>
          <w:kern w:val="1"/>
          <w:sz w:val="20"/>
          <w:szCs w:val="20"/>
          <w:lang w:eastAsia="ar-SA"/>
        </w:rPr>
        <w:t>8.1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931EB" w:rsidRPr="009701E9" w:rsidRDefault="006931EB" w:rsidP="006931EB">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931EB" w:rsidRPr="009701E9" w:rsidRDefault="006931EB" w:rsidP="006931EB">
      <w:pPr>
        <w:widowControl w:val="0"/>
        <w:suppressAutoHyphens/>
        <w:spacing w:after="0" w:line="240" w:lineRule="auto"/>
        <w:jc w:val="both"/>
        <w:rPr>
          <w:rFonts w:ascii="Times New Roman" w:eastAsia="DejaVu Sans" w:hAnsi="Times New Roman" w:cs="Times New Roman"/>
          <w:kern w:val="1"/>
          <w:sz w:val="20"/>
          <w:szCs w:val="20"/>
          <w:lang w:eastAsia="ar-SA"/>
        </w:rPr>
      </w:pPr>
    </w:p>
    <w:p w:rsidR="006931EB" w:rsidRPr="009701E9" w:rsidRDefault="006931EB" w:rsidP="006931EB">
      <w:pPr>
        <w:spacing w:after="0" w:line="240" w:lineRule="auto"/>
        <w:jc w:val="center"/>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9. Порядок разрешения споров</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6931EB" w:rsidRPr="009701E9" w:rsidRDefault="006931EB" w:rsidP="006931EB">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931EB" w:rsidRPr="009701E9" w:rsidRDefault="006931EB" w:rsidP="006931EB">
      <w:pPr>
        <w:widowControl w:val="0"/>
        <w:suppressAutoHyphens/>
        <w:spacing w:after="0" w:line="240" w:lineRule="auto"/>
        <w:rPr>
          <w:rFonts w:ascii="Times New Roman" w:eastAsia="DejaVu Sans"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931EB" w:rsidRPr="009701E9" w:rsidRDefault="006931EB" w:rsidP="006931E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931EB" w:rsidRPr="009701E9" w:rsidRDefault="006931EB" w:rsidP="006931E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11. Порядок расторжения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931EB" w:rsidRPr="009701E9" w:rsidRDefault="006931EB" w:rsidP="006931E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931EB" w:rsidRPr="009701E9" w:rsidRDefault="006931EB" w:rsidP="006931E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9701E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931EB" w:rsidRPr="009701E9" w:rsidTr="00616ECE">
        <w:tc>
          <w:tcPr>
            <w:tcW w:w="4923"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6931EB" w:rsidRPr="009701E9" w:rsidRDefault="006931EB" w:rsidP="00616ECE">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931EB" w:rsidRPr="009701E9" w:rsidRDefault="006931EB" w:rsidP="00616ECE">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ул.Дуси Ковальчук д.191, </w:t>
            </w:r>
          </w:p>
          <w:p w:rsidR="006931EB" w:rsidRDefault="006931EB" w:rsidP="00616ECE">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143928" w:rsidRPr="00143928" w:rsidRDefault="00143928" w:rsidP="00143928">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143928" w:rsidRPr="00143928" w:rsidRDefault="00143928" w:rsidP="00143928">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143928" w:rsidRPr="00143928" w:rsidRDefault="00143928" w:rsidP="00143928">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Тел. (383)338-38-51 (приемная), 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875F27" w:rsidP="00616ECE">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6931EB" w:rsidRPr="009701E9" w:rsidRDefault="006931EB" w:rsidP="00616ECE">
            <w:pPr>
              <w:suppressAutoHyphens/>
              <w:spacing w:after="0"/>
              <w:rPr>
                <w:rFonts w:ascii="Times New Roman" w:eastAsia="Times New Roman" w:hAnsi="Times New Roman" w:cs="Times New Roman"/>
                <w:kern w:val="1"/>
                <w:sz w:val="20"/>
                <w:szCs w:val="20"/>
                <w:lang w:eastAsia="ar-SA"/>
              </w:rPr>
            </w:pPr>
          </w:p>
          <w:p w:rsidR="006931EB" w:rsidRPr="009701E9" w:rsidRDefault="00143928" w:rsidP="00616ECE">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6931EB" w:rsidRPr="009701E9" w:rsidRDefault="006931EB" w:rsidP="00616ECE">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6931EB" w:rsidRPr="009701E9" w:rsidRDefault="006931EB" w:rsidP="00616EC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0457FD" w:rsidRPr="004A1129" w:rsidRDefault="000457FD" w:rsidP="000457FD">
            <w:pPr>
              <w:widowControl w:val="0"/>
              <w:suppressAutoHyphens/>
              <w:spacing w:after="0" w:line="240" w:lineRule="auto"/>
              <w:ind w:left="522"/>
              <w:rPr>
                <w:rFonts w:ascii="Times New Roman" w:hAnsi="Times New Roman" w:cs="Times New Roman"/>
                <w:b/>
                <w:sz w:val="20"/>
                <w:szCs w:val="20"/>
              </w:rPr>
            </w:pPr>
            <w:r w:rsidRPr="004A1129">
              <w:rPr>
                <w:rFonts w:ascii="Times New Roman" w:hAnsi="Times New Roman" w:cs="Times New Roman"/>
                <w:b/>
                <w:sz w:val="20"/>
                <w:szCs w:val="20"/>
              </w:rPr>
              <w:t>Общество с ограниченной ответственностью «</w:t>
            </w:r>
            <w:proofErr w:type="spellStart"/>
            <w:r w:rsidRPr="004A1129">
              <w:rPr>
                <w:rFonts w:ascii="Times New Roman" w:hAnsi="Times New Roman" w:cs="Times New Roman"/>
                <w:b/>
                <w:sz w:val="20"/>
                <w:szCs w:val="20"/>
              </w:rPr>
              <w:t>Трейдсервис</w:t>
            </w:r>
            <w:proofErr w:type="spellEnd"/>
            <w:r w:rsidRPr="004A1129">
              <w:rPr>
                <w:rFonts w:ascii="Times New Roman" w:hAnsi="Times New Roman" w:cs="Times New Roman"/>
                <w:b/>
                <w:sz w:val="20"/>
                <w:szCs w:val="20"/>
              </w:rPr>
              <w:t xml:space="preserve">» </w:t>
            </w:r>
          </w:p>
          <w:p w:rsidR="00563CB8" w:rsidRDefault="000457FD" w:rsidP="00563CB8">
            <w:pPr>
              <w:widowControl w:val="0"/>
              <w:suppressAutoHyphens/>
              <w:spacing w:after="0" w:line="240" w:lineRule="auto"/>
              <w:ind w:left="522"/>
              <w:rPr>
                <w:rFonts w:ascii="Times New Roman" w:hAnsi="Times New Roman" w:cs="Times New Roman"/>
                <w:sz w:val="20"/>
                <w:szCs w:val="20"/>
              </w:rPr>
            </w:pPr>
            <w:r w:rsidRPr="004A1129">
              <w:rPr>
                <w:rFonts w:ascii="Times New Roman" w:hAnsi="Times New Roman" w:cs="Times New Roman"/>
                <w:sz w:val="20"/>
                <w:szCs w:val="20"/>
              </w:rPr>
              <w:t xml:space="preserve">630005, г. Новосибирск, ул. </w:t>
            </w:r>
            <w:proofErr w:type="gramStart"/>
            <w:r w:rsidRPr="004A1129">
              <w:rPr>
                <w:rFonts w:ascii="Times New Roman" w:hAnsi="Times New Roman" w:cs="Times New Roman"/>
                <w:sz w:val="20"/>
                <w:szCs w:val="20"/>
              </w:rPr>
              <w:t>Ипподромная</w:t>
            </w:r>
            <w:proofErr w:type="gramEnd"/>
            <w:r w:rsidRPr="004A1129">
              <w:rPr>
                <w:rFonts w:ascii="Times New Roman" w:hAnsi="Times New Roman" w:cs="Times New Roman"/>
                <w:sz w:val="20"/>
                <w:szCs w:val="20"/>
              </w:rPr>
              <w:t xml:space="preserve">, 45а </w:t>
            </w:r>
          </w:p>
          <w:p w:rsid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 xml:space="preserve">ИНН 5406556905 КПП 540601001 </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 xml:space="preserve"> ОКПО 64347267</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lang w:val="en-US"/>
              </w:rPr>
            </w:pPr>
            <w:r w:rsidRPr="00563CB8">
              <w:rPr>
                <w:rFonts w:ascii="Times New Roman" w:hAnsi="Times New Roman" w:cs="Times New Roman"/>
                <w:sz w:val="20"/>
                <w:szCs w:val="20"/>
                <w:lang w:val="en-US"/>
              </w:rPr>
              <w:t>E-mail: tradeservice.tender@gmail.com</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Тел. +7 (383) 3620044</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ОГРН 1095406043490</w:t>
            </w:r>
            <w:r>
              <w:rPr>
                <w:rFonts w:ascii="Times New Roman" w:hAnsi="Times New Roman" w:cs="Times New Roman"/>
                <w:sz w:val="20"/>
                <w:szCs w:val="20"/>
              </w:rPr>
              <w:t xml:space="preserve">  дата </w:t>
            </w:r>
            <w:r w:rsidRPr="00563CB8">
              <w:rPr>
                <w:rFonts w:ascii="Times New Roman" w:hAnsi="Times New Roman" w:cs="Times New Roman"/>
                <w:sz w:val="20"/>
                <w:szCs w:val="20"/>
              </w:rPr>
              <w:t xml:space="preserve"> н/учет  22.12.2009г</w:t>
            </w:r>
          </w:p>
          <w:p w:rsidR="00563CB8" w:rsidRPr="004A1129"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ОКТМО О5070100</w:t>
            </w:r>
            <w:r>
              <w:rPr>
                <w:rFonts w:ascii="Times New Roman" w:hAnsi="Times New Roman" w:cs="Times New Roman"/>
                <w:sz w:val="20"/>
                <w:szCs w:val="20"/>
              </w:rPr>
              <w:t xml:space="preserve"> </w:t>
            </w:r>
            <w:r w:rsidRPr="00563CB8">
              <w:rPr>
                <w:rFonts w:ascii="Times New Roman" w:hAnsi="Times New Roman" w:cs="Times New Roman"/>
                <w:sz w:val="20"/>
                <w:szCs w:val="20"/>
              </w:rPr>
              <w:t>ОКПО 64347267</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 xml:space="preserve">Ф-л МЦП ПАО &lt;Ханты-Мансийский банк Открытие&gt;   БИК  045004870 </w:t>
            </w:r>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sidRPr="00563CB8">
              <w:rPr>
                <w:rFonts w:ascii="Times New Roman" w:hAnsi="Times New Roman" w:cs="Times New Roman"/>
                <w:sz w:val="20"/>
                <w:szCs w:val="20"/>
              </w:rPr>
              <w:t xml:space="preserve"> </w:t>
            </w:r>
            <w:proofErr w:type="gramStart"/>
            <w:r w:rsidRPr="00563CB8">
              <w:rPr>
                <w:rFonts w:ascii="Times New Roman" w:hAnsi="Times New Roman" w:cs="Times New Roman"/>
                <w:sz w:val="20"/>
                <w:szCs w:val="20"/>
              </w:rPr>
              <w:t>р</w:t>
            </w:r>
            <w:proofErr w:type="gramEnd"/>
            <w:r w:rsidRPr="00563CB8">
              <w:rPr>
                <w:rFonts w:ascii="Times New Roman" w:hAnsi="Times New Roman" w:cs="Times New Roman"/>
                <w:sz w:val="20"/>
                <w:szCs w:val="20"/>
              </w:rPr>
              <w:t xml:space="preserve">/счёт 40702810500020001759 </w:t>
            </w:r>
          </w:p>
          <w:p w:rsidR="00563CB8" w:rsidRDefault="00563CB8" w:rsidP="00563CB8">
            <w:pPr>
              <w:widowControl w:val="0"/>
              <w:suppressAutoHyphens/>
              <w:spacing w:after="0" w:line="240" w:lineRule="auto"/>
              <w:ind w:left="522"/>
              <w:rPr>
                <w:rFonts w:ascii="Times New Roman" w:hAnsi="Times New Roman" w:cs="Times New Roman"/>
                <w:sz w:val="20"/>
                <w:szCs w:val="20"/>
              </w:rPr>
            </w:pPr>
            <w:proofErr w:type="gramStart"/>
            <w:r w:rsidRPr="00563CB8">
              <w:rPr>
                <w:rFonts w:ascii="Times New Roman" w:hAnsi="Times New Roman" w:cs="Times New Roman"/>
                <w:sz w:val="20"/>
                <w:szCs w:val="20"/>
              </w:rPr>
              <w:t>к</w:t>
            </w:r>
            <w:proofErr w:type="gramEnd"/>
            <w:r w:rsidRPr="00563CB8">
              <w:rPr>
                <w:rFonts w:ascii="Times New Roman" w:hAnsi="Times New Roman" w:cs="Times New Roman"/>
                <w:sz w:val="20"/>
                <w:szCs w:val="20"/>
              </w:rPr>
              <w:t>/счёт 30101810250040000870</w:t>
            </w: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563CB8" w:rsidRDefault="00563CB8" w:rsidP="00563CB8">
            <w:pPr>
              <w:widowControl w:val="0"/>
              <w:suppressAutoHyphens/>
              <w:spacing w:after="0" w:line="240" w:lineRule="auto"/>
              <w:ind w:left="522"/>
              <w:rPr>
                <w:rFonts w:ascii="Times New Roman" w:hAnsi="Times New Roman" w:cs="Times New Roman"/>
                <w:sz w:val="20"/>
                <w:szCs w:val="20"/>
              </w:rPr>
            </w:pPr>
          </w:p>
          <w:p w:rsidR="00563CB8" w:rsidRDefault="00563CB8"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В.Л.Зорин</w:t>
            </w:r>
            <w:proofErr w:type="spellEnd"/>
          </w:p>
          <w:p w:rsidR="00563CB8" w:rsidRPr="00563CB8" w:rsidRDefault="00563CB8" w:rsidP="00563CB8">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p w:rsidR="000457FD" w:rsidRPr="004A1129" w:rsidRDefault="000457FD" w:rsidP="000457FD">
            <w:pPr>
              <w:widowControl w:val="0"/>
              <w:suppressAutoHyphens/>
              <w:spacing w:after="0" w:line="240" w:lineRule="auto"/>
              <w:ind w:left="522"/>
              <w:rPr>
                <w:rFonts w:ascii="Times New Roman" w:hAnsi="Times New Roman" w:cs="Times New Roman"/>
                <w:sz w:val="20"/>
                <w:szCs w:val="20"/>
              </w:rPr>
            </w:pPr>
          </w:p>
          <w:p w:rsidR="006931EB" w:rsidRPr="009701E9" w:rsidRDefault="006931EB" w:rsidP="000457FD">
            <w:pPr>
              <w:keepNext/>
              <w:ind w:left="239"/>
              <w:rPr>
                <w:rFonts w:ascii="Times New Roman" w:eastAsia="Times New Roman" w:hAnsi="Times New Roman" w:cs="Times New Roman"/>
                <w:sz w:val="20"/>
                <w:szCs w:val="20"/>
              </w:rPr>
            </w:pPr>
          </w:p>
          <w:p w:rsidR="006931EB" w:rsidRPr="009701E9" w:rsidRDefault="006931EB" w:rsidP="00616ECE">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752280" w:rsidRDefault="00875F27" w:rsidP="00875F27">
      <w:pPr>
        <w:spacing w:after="0" w:line="240" w:lineRule="auto"/>
        <w:rPr>
          <w:rFonts w:ascii="Times New Roman" w:hAnsi="Times New Roman" w:cs="Times New Roman"/>
          <w:sz w:val="20"/>
          <w:szCs w:val="20"/>
        </w:rPr>
      </w:pPr>
      <w:r w:rsidRPr="00875F27">
        <w:rPr>
          <w:rFonts w:ascii="Times New Roman" w:hAnsi="Times New Roman" w:cs="Times New Roman"/>
          <w:sz w:val="20"/>
          <w:szCs w:val="20"/>
        </w:rPr>
        <w:t>Приложение №1 к договору</w:t>
      </w:r>
    </w:p>
    <w:p w:rsidR="00875F27" w:rsidRDefault="00875F27" w:rsidP="00875F27">
      <w:pPr>
        <w:spacing w:after="0" w:line="240" w:lineRule="auto"/>
        <w:rPr>
          <w:rFonts w:ascii="Times New Roman" w:hAnsi="Times New Roman" w:cs="Times New Roman"/>
          <w:sz w:val="20"/>
          <w:szCs w:val="20"/>
        </w:rPr>
      </w:pPr>
    </w:p>
    <w:p w:rsidR="00875F27" w:rsidRDefault="00875F27" w:rsidP="00875F27">
      <w:pPr>
        <w:spacing w:after="0" w:line="240" w:lineRule="auto"/>
        <w:rPr>
          <w:rFonts w:ascii="Times New Roman" w:hAnsi="Times New Roman" w:cs="Times New Roman"/>
          <w:sz w:val="20"/>
          <w:szCs w:val="20"/>
        </w:rPr>
      </w:pPr>
    </w:p>
    <w:p w:rsidR="00875F27" w:rsidRDefault="00875F27" w:rsidP="00875F27">
      <w:pPr>
        <w:spacing w:after="0" w:line="240" w:lineRule="auto"/>
        <w:rPr>
          <w:rFonts w:ascii="Times New Roman" w:hAnsi="Times New Roman" w:cs="Times New Roman"/>
          <w:sz w:val="20"/>
          <w:szCs w:val="20"/>
        </w:rPr>
      </w:pPr>
    </w:p>
    <w:p w:rsidR="00875F27" w:rsidRDefault="00875F27" w:rsidP="00875F27">
      <w:pPr>
        <w:spacing w:after="0" w:line="240" w:lineRule="auto"/>
        <w:rPr>
          <w:rFonts w:ascii="Times New Roman" w:hAnsi="Times New Roman" w:cs="Times New Roman"/>
          <w:sz w:val="20"/>
          <w:szCs w:val="20"/>
        </w:rPr>
      </w:pPr>
    </w:p>
    <w:p w:rsidR="00875F27" w:rsidRPr="00875F27" w:rsidRDefault="00875F27" w:rsidP="00875F27">
      <w:pPr>
        <w:spacing w:after="0" w:line="240" w:lineRule="auto"/>
        <w:rPr>
          <w:rFonts w:ascii="Times New Roman" w:hAnsi="Times New Roman" w:cs="Times New Roman"/>
          <w:sz w:val="20"/>
          <w:szCs w:val="20"/>
        </w:rPr>
      </w:pPr>
    </w:p>
    <w:p w:rsidR="00875F27" w:rsidRPr="00875F27" w:rsidRDefault="00875F27" w:rsidP="00875F27">
      <w:pPr>
        <w:jc w:val="center"/>
        <w:rPr>
          <w:rFonts w:ascii="Times New Roman" w:eastAsia="Calibri" w:hAnsi="Times New Roman" w:cs="Times New Roman"/>
          <w:b/>
          <w:sz w:val="24"/>
          <w:szCs w:val="24"/>
          <w:lang w:eastAsia="en-US"/>
        </w:rPr>
      </w:pPr>
      <w:r w:rsidRPr="00875F27">
        <w:rPr>
          <w:rFonts w:ascii="Times New Roman" w:eastAsia="Calibri" w:hAnsi="Times New Roman" w:cs="Times New Roman"/>
          <w:b/>
          <w:sz w:val="24"/>
          <w:szCs w:val="24"/>
          <w:lang w:eastAsia="en-US"/>
        </w:rPr>
        <w:t>Спецификация</w:t>
      </w:r>
    </w:p>
    <w:tbl>
      <w:tblPr>
        <w:tblW w:w="0" w:type="auto"/>
        <w:tblCellMar>
          <w:left w:w="30" w:type="dxa"/>
          <w:right w:w="0" w:type="dxa"/>
        </w:tblCellMar>
        <w:tblLook w:val="04A0" w:firstRow="1" w:lastRow="0" w:firstColumn="1" w:lastColumn="0" w:noHBand="0" w:noVBand="1"/>
      </w:tblPr>
      <w:tblGrid>
        <w:gridCol w:w="75"/>
      </w:tblGrid>
      <w:tr w:rsidR="00875F27" w:rsidRPr="00875F27" w:rsidTr="00A75479">
        <w:trPr>
          <w:hidden/>
        </w:trPr>
        <w:tc>
          <w:tcPr>
            <w:tcW w:w="0" w:type="auto"/>
            <w:vAlign w:val="center"/>
            <w:hideMark/>
          </w:tcPr>
          <w:p w:rsidR="00875F27" w:rsidRPr="00875F27" w:rsidRDefault="00875F27" w:rsidP="00875F27">
            <w:pPr>
              <w:spacing w:after="0" w:line="240" w:lineRule="auto"/>
              <w:rPr>
                <w:rFonts w:ascii="Arial" w:eastAsia="Times New Roman" w:hAnsi="Arial" w:cs="Arial"/>
                <w:vanish/>
                <w:sz w:val="16"/>
                <w:szCs w:val="16"/>
              </w:rPr>
            </w:pPr>
            <w:r w:rsidRPr="00875F27">
              <w:rPr>
                <w:rFonts w:ascii="Arial" w:eastAsia="Times New Roman" w:hAnsi="Arial" w:cs="Arial"/>
                <w:vanish/>
                <w:sz w:val="16"/>
                <w:szCs w:val="16"/>
              </w:rPr>
              <w:t> </w:t>
            </w:r>
          </w:p>
        </w:tc>
      </w:tr>
      <w:tr w:rsidR="00875F27" w:rsidRPr="00875F27" w:rsidTr="00A75479">
        <w:tc>
          <w:tcPr>
            <w:tcW w:w="0" w:type="auto"/>
            <w:vAlign w:val="center"/>
            <w:hideMark/>
          </w:tcPr>
          <w:p w:rsidR="00875F27" w:rsidRPr="00875F27" w:rsidRDefault="00875F27" w:rsidP="00875F27">
            <w:pPr>
              <w:spacing w:after="0" w:line="240" w:lineRule="auto"/>
              <w:rPr>
                <w:rFonts w:ascii="Arial" w:eastAsia="Times New Roman" w:hAnsi="Arial" w:cs="Arial"/>
                <w:sz w:val="16"/>
                <w:szCs w:val="16"/>
              </w:rPr>
            </w:pPr>
            <w:r w:rsidRPr="00875F27">
              <w:rPr>
                <w:rFonts w:ascii="Arial" w:eastAsia="Times New Roman" w:hAnsi="Arial" w:cs="Arial"/>
                <w:sz w:val="16"/>
                <w:szCs w:val="16"/>
              </w:rPr>
              <w:t> </w:t>
            </w:r>
          </w:p>
        </w:tc>
      </w:tr>
      <w:tr w:rsidR="00875F27" w:rsidRPr="00875F27" w:rsidTr="00A75479">
        <w:tc>
          <w:tcPr>
            <w:tcW w:w="0" w:type="auto"/>
            <w:vAlign w:val="center"/>
            <w:hideMark/>
          </w:tcPr>
          <w:p w:rsidR="00875F27" w:rsidRPr="00875F27" w:rsidRDefault="00875F27" w:rsidP="00875F27">
            <w:pPr>
              <w:spacing w:after="0" w:line="240" w:lineRule="auto"/>
              <w:rPr>
                <w:rFonts w:ascii="Arial" w:eastAsia="Times New Roman" w:hAnsi="Arial" w:cs="Arial"/>
                <w:sz w:val="16"/>
                <w:szCs w:val="16"/>
              </w:rPr>
            </w:pPr>
            <w:r w:rsidRPr="00875F27">
              <w:rPr>
                <w:rFonts w:ascii="Arial" w:eastAsia="Times New Roman" w:hAnsi="Arial" w:cs="Arial"/>
                <w:sz w:val="16"/>
                <w:szCs w:val="16"/>
              </w:rPr>
              <w:t> </w:t>
            </w:r>
          </w:p>
        </w:tc>
      </w:tr>
    </w:tbl>
    <w:p w:rsidR="00875F27" w:rsidRPr="00875F27" w:rsidRDefault="00875F27" w:rsidP="00875F27">
      <w:pPr>
        <w:spacing w:after="0" w:line="240" w:lineRule="auto"/>
        <w:rPr>
          <w:rFonts w:ascii="Arial" w:eastAsia="Times New Roman" w:hAnsi="Arial" w:cs="Arial"/>
          <w:vanish/>
          <w:sz w:val="16"/>
          <w:szCs w:val="16"/>
        </w:rPr>
      </w:pPr>
    </w:p>
    <w:tbl>
      <w:tblPr>
        <w:tblW w:w="0" w:type="auto"/>
        <w:tblCellMar>
          <w:left w:w="30" w:type="dxa"/>
          <w:right w:w="0" w:type="dxa"/>
        </w:tblCellMar>
        <w:tblLook w:val="04A0" w:firstRow="1" w:lastRow="0" w:firstColumn="1" w:lastColumn="0" w:noHBand="0" w:noVBand="1"/>
      </w:tblPr>
      <w:tblGrid>
        <w:gridCol w:w="96"/>
        <w:gridCol w:w="557"/>
        <w:gridCol w:w="4930"/>
        <w:gridCol w:w="852"/>
        <w:gridCol w:w="643"/>
        <w:gridCol w:w="896"/>
        <w:gridCol w:w="1331"/>
        <w:gridCol w:w="80"/>
      </w:tblGrid>
      <w:tr w:rsidR="00875F27" w:rsidRPr="00875F27" w:rsidTr="00A75479">
        <w:trPr>
          <w:gridAfter w:val="1"/>
          <w:hidden/>
        </w:trPr>
        <w:tc>
          <w:tcPr>
            <w:tcW w:w="108"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630"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5668"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941"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715"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933"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c>
          <w:tcPr>
            <w:tcW w:w="1421" w:type="dxa"/>
            <w:vAlign w:val="center"/>
            <w:hideMark/>
          </w:tcPr>
          <w:p w:rsidR="00875F27" w:rsidRPr="00875F27" w:rsidRDefault="00875F27" w:rsidP="00875F27">
            <w:pPr>
              <w:spacing w:after="0" w:line="240" w:lineRule="auto"/>
              <w:rPr>
                <w:rFonts w:ascii="Arial" w:eastAsia="Times New Roman" w:hAnsi="Arial" w:cs="Arial"/>
                <w:vanish/>
                <w:sz w:val="16"/>
                <w:szCs w:val="16"/>
              </w:rPr>
            </w:pPr>
          </w:p>
        </w:tc>
      </w:tr>
      <w:tr w:rsidR="00875F27" w:rsidRPr="00875F27" w:rsidTr="00A75479">
        <w:trPr>
          <w:trHeight w:val="255"/>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875F27" w:rsidRPr="00875F27" w:rsidRDefault="00875F27" w:rsidP="00875F27">
            <w:pPr>
              <w:spacing w:after="0" w:line="240" w:lineRule="auto"/>
              <w:jc w:val="center"/>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Сумма</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Процессор </w:t>
            </w:r>
            <w:proofErr w:type="spellStart"/>
            <w:r w:rsidRPr="00875F27">
              <w:rPr>
                <w:rFonts w:ascii="Times New Roman" w:eastAsia="Times New Roman" w:hAnsi="Times New Roman" w:cs="Times New Roman"/>
                <w:sz w:val="20"/>
                <w:szCs w:val="20"/>
              </w:rPr>
              <w:t>Intel</w:t>
            </w:r>
            <w:proofErr w:type="spellEnd"/>
            <w:r w:rsidRPr="00875F27">
              <w:rPr>
                <w:rFonts w:ascii="Times New Roman" w:eastAsia="Times New Roman" w:hAnsi="Times New Roman" w:cs="Times New Roman"/>
                <w:sz w:val="20"/>
                <w:szCs w:val="20"/>
              </w:rPr>
              <w:t xml:space="preserve"> </w:t>
            </w:r>
            <w:proofErr w:type="spellStart"/>
            <w:r w:rsidRPr="00875F27">
              <w:rPr>
                <w:rFonts w:ascii="Times New Roman" w:eastAsia="Times New Roman" w:hAnsi="Times New Roman" w:cs="Times New Roman"/>
                <w:sz w:val="20"/>
                <w:szCs w:val="20"/>
              </w:rPr>
              <w:t>Pentium</w:t>
            </w:r>
            <w:proofErr w:type="spellEnd"/>
            <w:r w:rsidRPr="00875F27">
              <w:rPr>
                <w:rFonts w:ascii="Times New Roman" w:eastAsia="Times New Roman" w:hAnsi="Times New Roman" w:cs="Times New Roman"/>
                <w:sz w:val="20"/>
                <w:szCs w:val="20"/>
              </w:rPr>
              <w:t xml:space="preserve"> G3240 3.10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9</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4 787,21</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43 084,93</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459"/>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Материнская плата MSI H81M-P33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9</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3 504,06</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31 536,53</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875F27" w:rsidRPr="00875F27" w:rsidRDefault="00875F27" w:rsidP="00875F27">
            <w:pPr>
              <w:suppressAutoHyphens/>
              <w:snapToGrid w:val="0"/>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kern w:val="1"/>
                <w:sz w:val="20"/>
                <w:szCs w:val="20"/>
                <w:lang w:eastAsia="ar-SA"/>
              </w:rPr>
              <w:t xml:space="preserve">Корпус компьютера с блоком питания </w:t>
            </w:r>
            <w:proofErr w:type="spellStart"/>
            <w:r w:rsidRPr="00875F27">
              <w:rPr>
                <w:rFonts w:ascii="Times New Roman" w:eastAsia="Times New Roman" w:hAnsi="Times New Roman" w:cs="Times New Roman"/>
                <w:kern w:val="1"/>
                <w:sz w:val="20"/>
                <w:szCs w:val="20"/>
                <w:lang w:val="en-US" w:eastAsia="ar-SA"/>
              </w:rPr>
              <w:t>Exegate</w:t>
            </w:r>
            <w:proofErr w:type="spellEnd"/>
            <w:r w:rsidRPr="00875F27">
              <w:rPr>
                <w:rFonts w:ascii="Times New Roman" w:eastAsia="Times New Roman" w:hAnsi="Times New Roman" w:cs="Times New Roman"/>
                <w:kern w:val="1"/>
                <w:sz w:val="20"/>
                <w:szCs w:val="20"/>
                <w:lang w:eastAsia="ar-SA"/>
              </w:rPr>
              <w:t xml:space="preserve"> </w:t>
            </w:r>
            <w:r w:rsidRPr="00875F27">
              <w:rPr>
                <w:rFonts w:ascii="Times New Roman" w:eastAsia="Times New Roman" w:hAnsi="Times New Roman" w:cs="Times New Roman"/>
                <w:kern w:val="1"/>
                <w:sz w:val="20"/>
                <w:szCs w:val="20"/>
                <w:lang w:val="en-US" w:eastAsia="ar-SA"/>
              </w:rPr>
              <w:t>BA</w:t>
            </w:r>
            <w:r w:rsidRPr="00875F27">
              <w:rPr>
                <w:rFonts w:ascii="Times New Roman" w:eastAsia="Times New Roman" w:hAnsi="Times New Roman" w:cs="Times New Roman"/>
                <w:kern w:val="1"/>
                <w:sz w:val="20"/>
                <w:szCs w:val="20"/>
                <w:lang w:eastAsia="ar-SA"/>
              </w:rPr>
              <w:t>-112</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2 320,83</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6 962,49</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Оперативная память </w:t>
            </w:r>
            <w:r w:rsidRPr="00875F27">
              <w:rPr>
                <w:rFonts w:ascii="Times New Roman" w:eastAsia="Times New Roman" w:hAnsi="Times New Roman" w:cs="Times New Roman"/>
                <w:sz w:val="20"/>
                <w:szCs w:val="20"/>
                <w:lang w:val="en-US"/>
              </w:rPr>
              <w:t>Samsung</w:t>
            </w:r>
            <w:r w:rsidRPr="00875F27">
              <w:rPr>
                <w:rFonts w:ascii="Times New Roman" w:eastAsia="Times New Roman" w:hAnsi="Times New Roman" w:cs="Times New Roman"/>
                <w:sz w:val="20"/>
                <w:szCs w:val="20"/>
              </w:rPr>
              <w:t xml:space="preserve"> </w:t>
            </w:r>
            <w:r w:rsidRPr="00875F27">
              <w:rPr>
                <w:rFonts w:ascii="Times New Roman" w:eastAsia="Times New Roman" w:hAnsi="Times New Roman" w:cs="Times New Roman"/>
                <w:sz w:val="20"/>
                <w:szCs w:val="20"/>
                <w:lang w:val="en-US"/>
              </w:rPr>
              <w:t>original</w:t>
            </w:r>
            <w:r w:rsidRPr="00875F27">
              <w:rPr>
                <w:rFonts w:ascii="Times New Roman" w:eastAsia="Times New Roman" w:hAnsi="Times New Roman" w:cs="Times New Roman"/>
                <w:sz w:val="20"/>
                <w:szCs w:val="20"/>
              </w:rPr>
              <w:t xml:space="preserve"> (</w:t>
            </w:r>
            <w:r w:rsidRPr="00875F27">
              <w:rPr>
                <w:rFonts w:ascii="Times New Roman" w:eastAsia="Times New Roman" w:hAnsi="Times New Roman" w:cs="Times New Roman"/>
                <w:sz w:val="20"/>
                <w:szCs w:val="20"/>
                <w:lang w:val="en-US"/>
              </w:rPr>
              <w:t>M</w:t>
            </w:r>
            <w:r w:rsidRPr="00875F27">
              <w:rPr>
                <w:rFonts w:ascii="Times New Roman" w:eastAsia="Times New Roman" w:hAnsi="Times New Roman" w:cs="Times New Roman"/>
                <w:sz w:val="20"/>
                <w:szCs w:val="20"/>
              </w:rPr>
              <w:t>378</w:t>
            </w:r>
            <w:r w:rsidRPr="00875F27">
              <w:rPr>
                <w:rFonts w:ascii="Times New Roman" w:eastAsia="Times New Roman" w:hAnsi="Times New Roman" w:cs="Times New Roman"/>
                <w:sz w:val="20"/>
                <w:szCs w:val="20"/>
                <w:lang w:val="en-US"/>
              </w:rPr>
              <w:t>B</w:t>
            </w:r>
            <w:r w:rsidRPr="00875F27">
              <w:rPr>
                <w:rFonts w:ascii="Times New Roman" w:eastAsia="Times New Roman" w:hAnsi="Times New Roman" w:cs="Times New Roman"/>
                <w:sz w:val="20"/>
                <w:szCs w:val="20"/>
              </w:rPr>
              <w:t>5173</w:t>
            </w:r>
            <w:r w:rsidRPr="00875F27">
              <w:rPr>
                <w:rFonts w:ascii="Times New Roman" w:eastAsia="Times New Roman" w:hAnsi="Times New Roman" w:cs="Times New Roman"/>
                <w:sz w:val="20"/>
                <w:szCs w:val="20"/>
                <w:lang w:val="en-US"/>
              </w:rPr>
              <w:t>EB</w:t>
            </w:r>
            <w:r w:rsidRPr="00875F27">
              <w:rPr>
                <w:rFonts w:ascii="Times New Roman" w:eastAsia="Times New Roman" w:hAnsi="Times New Roman" w:cs="Times New Roman"/>
                <w:sz w:val="20"/>
                <w:szCs w:val="20"/>
              </w:rPr>
              <w:t>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1 365,19</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13 651,86</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5</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Блок питания 450W ATX </w:t>
            </w:r>
            <w:proofErr w:type="spellStart"/>
            <w:r w:rsidRPr="00875F27">
              <w:rPr>
                <w:rFonts w:ascii="Times New Roman" w:eastAsia="Times New Roman" w:hAnsi="Times New Roman" w:cs="Times New Roman"/>
                <w:sz w:val="20"/>
                <w:szCs w:val="20"/>
              </w:rPr>
              <w:t>Exegate</w:t>
            </w:r>
            <w:proofErr w:type="spellEnd"/>
            <w:r w:rsidRPr="00875F27">
              <w:rPr>
                <w:rFonts w:ascii="Times New Roman" w:eastAsia="Times New Roman" w:hAnsi="Times New Roman" w:cs="Times New Roman"/>
                <w:sz w:val="20"/>
                <w:szCs w:val="20"/>
              </w:rPr>
              <w:t xml:space="preserve"> AB450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1 268,34</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12 683,44</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6</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Жесткий диск HDD 500 </w:t>
            </w:r>
            <w:proofErr w:type="spellStart"/>
            <w:r w:rsidRPr="00875F27">
              <w:rPr>
                <w:rFonts w:ascii="Times New Roman" w:eastAsia="Times New Roman" w:hAnsi="Times New Roman" w:cs="Times New Roman"/>
                <w:sz w:val="20"/>
                <w:szCs w:val="20"/>
              </w:rPr>
              <w:t>Gb</w:t>
            </w:r>
            <w:proofErr w:type="spellEnd"/>
            <w:r w:rsidRPr="00875F27">
              <w:rPr>
                <w:rFonts w:ascii="Times New Roman" w:eastAsia="Times New Roman" w:hAnsi="Times New Roman" w:cs="Times New Roman"/>
                <w:sz w:val="20"/>
                <w:szCs w:val="20"/>
              </w:rPr>
              <w:t xml:space="preserve"> </w:t>
            </w:r>
            <w:proofErr w:type="spellStart"/>
            <w:r w:rsidRPr="00875F27">
              <w:rPr>
                <w:rFonts w:ascii="Times New Roman" w:eastAsia="Times New Roman" w:hAnsi="Times New Roman" w:cs="Times New Roman"/>
                <w:sz w:val="20"/>
                <w:szCs w:val="20"/>
              </w:rPr>
              <w:t>Toshiba</w:t>
            </w:r>
            <w:proofErr w:type="spellEnd"/>
            <w:r w:rsidRPr="00875F27">
              <w:rPr>
                <w:rFonts w:ascii="Times New Roman" w:eastAsia="Times New Roman" w:hAnsi="Times New Roman" w:cs="Times New Roman"/>
                <w:sz w:val="20"/>
                <w:szCs w:val="20"/>
              </w:rPr>
              <w:t xml:space="preserve"> HDWD105UZSVA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8</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3 813,15</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30 505,19</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7</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Видеокарта AMD R7 240 MSI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5 020,21</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20 080,84</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8</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lang w:val="en-US"/>
              </w:rPr>
            </w:pPr>
            <w:r w:rsidRPr="00875F27">
              <w:rPr>
                <w:rFonts w:ascii="Times New Roman" w:eastAsia="Times New Roman" w:hAnsi="Times New Roman" w:cs="Times New Roman"/>
                <w:sz w:val="20"/>
                <w:szCs w:val="20"/>
              </w:rPr>
              <w:t>Монитор</w:t>
            </w:r>
            <w:r w:rsidRPr="00875F27">
              <w:rPr>
                <w:rFonts w:ascii="Times New Roman" w:eastAsia="Times New Roman" w:hAnsi="Times New Roman" w:cs="Times New Roman"/>
                <w:sz w:val="20"/>
                <w:szCs w:val="20"/>
                <w:lang w:val="en-US"/>
              </w:rPr>
              <w:t xml:space="preserve"> TFT 21.5" AOC E2270Swn Black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5</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7 749,05</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38 745,26</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21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9</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lang w:val="en-US"/>
              </w:rPr>
            </w:pPr>
            <w:r w:rsidRPr="00875F27">
              <w:rPr>
                <w:rFonts w:ascii="Times New Roman" w:eastAsia="Times New Roman" w:hAnsi="Times New Roman" w:cs="Times New Roman"/>
                <w:sz w:val="20"/>
                <w:szCs w:val="20"/>
              </w:rPr>
              <w:t>Клавиатура</w:t>
            </w:r>
            <w:r w:rsidRPr="00875F27">
              <w:rPr>
                <w:rFonts w:ascii="Times New Roman" w:eastAsia="Times New Roman" w:hAnsi="Times New Roman" w:cs="Times New Roman"/>
                <w:sz w:val="20"/>
                <w:szCs w:val="20"/>
                <w:lang w:val="en-US"/>
              </w:rPr>
              <w:t xml:space="preserve"> </w:t>
            </w:r>
            <w:proofErr w:type="spellStart"/>
            <w:r w:rsidRPr="00875F27">
              <w:rPr>
                <w:rFonts w:ascii="Times New Roman" w:eastAsia="Times New Roman" w:hAnsi="Times New Roman" w:cs="Times New Roman"/>
                <w:sz w:val="20"/>
                <w:szCs w:val="20"/>
                <w:lang w:val="en-US"/>
              </w:rPr>
              <w:t>Gembird</w:t>
            </w:r>
            <w:proofErr w:type="spellEnd"/>
            <w:r w:rsidRPr="00875F27">
              <w:rPr>
                <w:rFonts w:ascii="Times New Roman" w:eastAsia="Times New Roman" w:hAnsi="Times New Roman" w:cs="Times New Roman"/>
                <w:sz w:val="20"/>
                <w:szCs w:val="20"/>
                <w:lang w:val="en-US"/>
              </w:rPr>
              <w:t xml:space="preserve"> KB-8300-BL black (PS/2)</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393,92</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3 939,19</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Манипулятор </w:t>
            </w:r>
            <w:proofErr w:type="spellStart"/>
            <w:r w:rsidRPr="00875F27">
              <w:rPr>
                <w:rFonts w:ascii="Times New Roman" w:eastAsia="Times New Roman" w:hAnsi="Times New Roman" w:cs="Times New Roman"/>
                <w:sz w:val="20"/>
                <w:szCs w:val="20"/>
              </w:rPr>
              <w:t>Exegate</w:t>
            </w:r>
            <w:proofErr w:type="spellEnd"/>
            <w:r w:rsidRPr="00875F27">
              <w:rPr>
                <w:rFonts w:ascii="Times New Roman" w:eastAsia="Times New Roman" w:hAnsi="Times New Roman" w:cs="Times New Roman"/>
                <w:sz w:val="20"/>
                <w:szCs w:val="20"/>
              </w:rPr>
              <w:t xml:space="preserve"> SH-9014</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147,69</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1 476,90</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293"/>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11</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Материнская плата GIGABYTE GA-H61M-S2PV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4 300,63</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4 300,63</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39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12</w:t>
            </w:r>
          </w:p>
        </w:tc>
        <w:tc>
          <w:tcPr>
            <w:tcW w:w="0" w:type="auto"/>
            <w:tcBorders>
              <w:top w:val="single" w:sz="6" w:space="0" w:color="000000"/>
              <w:left w:val="single" w:sz="6" w:space="0" w:color="000000"/>
            </w:tcBorders>
            <w:hideMark/>
          </w:tcPr>
          <w:p w:rsidR="00875F27" w:rsidRPr="00875F27" w:rsidRDefault="00875F27" w:rsidP="00875F27">
            <w:pPr>
              <w:suppressAutoHyphens/>
              <w:snapToGrid w:val="0"/>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kern w:val="1"/>
                <w:sz w:val="20"/>
                <w:szCs w:val="20"/>
                <w:lang w:eastAsia="ar-SA"/>
              </w:rPr>
              <w:t>Сетевая карта D-</w:t>
            </w:r>
            <w:proofErr w:type="spellStart"/>
            <w:r w:rsidRPr="00875F27">
              <w:rPr>
                <w:rFonts w:ascii="Times New Roman" w:eastAsia="Times New Roman" w:hAnsi="Times New Roman" w:cs="Times New Roman"/>
                <w:kern w:val="1"/>
                <w:sz w:val="20"/>
                <w:szCs w:val="20"/>
                <w:lang w:eastAsia="ar-SA"/>
              </w:rPr>
              <w:t>Link</w:t>
            </w:r>
            <w:proofErr w:type="spellEnd"/>
            <w:r w:rsidRPr="00875F27">
              <w:rPr>
                <w:rFonts w:ascii="Times New Roman" w:eastAsia="Times New Roman" w:hAnsi="Times New Roman" w:cs="Times New Roman"/>
                <w:kern w:val="1"/>
                <w:sz w:val="20"/>
                <w:szCs w:val="20"/>
                <w:lang w:eastAsia="ar-SA"/>
              </w:rPr>
              <w:t xml:space="preserve"> DGE-528T</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961,61</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1 923,22</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21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13</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Батарея для мат. плат </w:t>
            </w:r>
            <w:proofErr w:type="spellStart"/>
            <w:r w:rsidRPr="00875F27">
              <w:rPr>
                <w:rFonts w:ascii="Times New Roman" w:eastAsia="Times New Roman" w:hAnsi="Times New Roman" w:cs="Times New Roman"/>
                <w:sz w:val="20"/>
                <w:szCs w:val="20"/>
              </w:rPr>
              <w:t>JAZZway</w:t>
            </w:r>
            <w:proofErr w:type="spellEnd"/>
            <w:r w:rsidRPr="00875F27">
              <w:rPr>
                <w:rFonts w:ascii="Times New Roman" w:eastAsia="Times New Roman" w:hAnsi="Times New Roman" w:cs="Times New Roman"/>
                <w:sz w:val="20"/>
                <w:szCs w:val="20"/>
              </w:rPr>
              <w:t xml:space="preserve"> CR2032 BL-1</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50</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40,58</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2 029,00</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21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12" w:space="0" w:color="000000"/>
            </w:tcBorders>
            <w:hideMark/>
          </w:tcPr>
          <w:p w:rsidR="00875F27" w:rsidRPr="00875F27" w:rsidRDefault="00875F27" w:rsidP="00875F27">
            <w:pPr>
              <w:spacing w:after="0" w:line="240" w:lineRule="auto"/>
              <w:jc w:val="center"/>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14</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xml:space="preserve">Фильтр сетевой Гарнизон ЕНW-6 </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7</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шт.</w:t>
            </w:r>
          </w:p>
        </w:tc>
        <w:tc>
          <w:tcPr>
            <w:tcW w:w="0" w:type="auto"/>
            <w:tcBorders>
              <w:top w:val="single" w:sz="6" w:space="0" w:color="000000"/>
              <w:left w:val="single" w:sz="6"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244,44</w:t>
            </w:r>
          </w:p>
        </w:tc>
        <w:tc>
          <w:tcPr>
            <w:tcW w:w="0" w:type="auto"/>
            <w:tcBorders>
              <w:top w:val="single" w:sz="6" w:space="0" w:color="000000"/>
              <w:left w:val="single" w:sz="6" w:space="0" w:color="000000"/>
              <w:right w:val="single" w:sz="12" w:space="0" w:color="000000"/>
            </w:tcBorders>
            <w:hideMark/>
          </w:tcPr>
          <w:p w:rsidR="00875F27" w:rsidRPr="00875F27" w:rsidRDefault="00875F27" w:rsidP="00875F27">
            <w:pPr>
              <w:spacing w:after="0" w:line="240" w:lineRule="auto"/>
              <w:jc w:val="right"/>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1 711,05</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150"/>
        </w:trPr>
        <w:tc>
          <w:tcPr>
            <w:tcW w:w="0" w:type="auto"/>
            <w:tcBorders>
              <w:left w:val="nil"/>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tcBorders>
              <w:top w:val="single" w:sz="12" w:space="0" w:color="000000"/>
            </w:tcBorders>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r w:rsidRPr="00875F27">
              <w:rPr>
                <w:rFonts w:ascii="Times New Roman" w:eastAsia="Times New Roman" w:hAnsi="Times New Roman" w:cs="Times New Roman"/>
                <w:sz w:val="20"/>
                <w:szCs w:val="20"/>
              </w:rPr>
              <w:t> </w:t>
            </w:r>
          </w:p>
        </w:tc>
      </w:tr>
      <w:tr w:rsidR="00875F27" w:rsidRPr="00875F27" w:rsidTr="00A75479">
        <w:trPr>
          <w:trHeight w:val="255"/>
        </w:trPr>
        <w:tc>
          <w:tcPr>
            <w:tcW w:w="0" w:type="auto"/>
            <w:gridSpan w:val="6"/>
            <w:tcBorders>
              <w:left w:val="nil"/>
            </w:tcBorders>
            <w:hideMark/>
          </w:tcPr>
          <w:p w:rsidR="00875F27" w:rsidRPr="00875F27" w:rsidRDefault="00875F27" w:rsidP="00875F27">
            <w:pPr>
              <w:spacing w:after="0" w:line="240" w:lineRule="auto"/>
              <w:jc w:val="right"/>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Итого:</w:t>
            </w:r>
          </w:p>
        </w:tc>
        <w:tc>
          <w:tcPr>
            <w:tcW w:w="0" w:type="auto"/>
            <w:hideMark/>
          </w:tcPr>
          <w:p w:rsidR="00875F27" w:rsidRPr="00875F27" w:rsidRDefault="00875F27" w:rsidP="00875F27">
            <w:pPr>
              <w:spacing w:after="0" w:line="240" w:lineRule="auto"/>
              <w:jc w:val="right"/>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212 630,53</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r w:rsidR="00875F27" w:rsidRPr="00875F27" w:rsidTr="00A75479">
        <w:trPr>
          <w:trHeight w:val="255"/>
        </w:trPr>
        <w:tc>
          <w:tcPr>
            <w:tcW w:w="0" w:type="auto"/>
            <w:gridSpan w:val="6"/>
            <w:tcBorders>
              <w:left w:val="nil"/>
            </w:tcBorders>
            <w:hideMark/>
          </w:tcPr>
          <w:p w:rsidR="00875F27" w:rsidRPr="00875F27" w:rsidRDefault="00875F27" w:rsidP="00875F27">
            <w:pPr>
              <w:spacing w:after="0" w:line="240" w:lineRule="auto"/>
              <w:jc w:val="right"/>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В том числе НДС:</w:t>
            </w:r>
          </w:p>
        </w:tc>
        <w:tc>
          <w:tcPr>
            <w:tcW w:w="0" w:type="auto"/>
            <w:hideMark/>
          </w:tcPr>
          <w:p w:rsidR="00875F27" w:rsidRPr="00875F27" w:rsidRDefault="00875F27" w:rsidP="00875F27">
            <w:pPr>
              <w:spacing w:after="0" w:line="240" w:lineRule="auto"/>
              <w:jc w:val="right"/>
              <w:rPr>
                <w:rFonts w:ascii="Times New Roman" w:eastAsia="Times New Roman" w:hAnsi="Times New Roman" w:cs="Times New Roman"/>
                <w:b/>
                <w:bCs/>
                <w:sz w:val="20"/>
                <w:szCs w:val="20"/>
              </w:rPr>
            </w:pPr>
            <w:r w:rsidRPr="00875F27">
              <w:rPr>
                <w:rFonts w:ascii="Times New Roman" w:eastAsia="Times New Roman" w:hAnsi="Times New Roman" w:cs="Times New Roman"/>
                <w:b/>
                <w:bCs/>
                <w:sz w:val="20"/>
                <w:szCs w:val="20"/>
              </w:rPr>
              <w:t>32 435,16</w:t>
            </w:r>
          </w:p>
        </w:tc>
        <w:tc>
          <w:tcPr>
            <w:tcW w:w="0" w:type="auto"/>
            <w:vAlign w:val="center"/>
            <w:hideMark/>
          </w:tcPr>
          <w:p w:rsidR="00875F27" w:rsidRPr="00875F27" w:rsidRDefault="00875F27" w:rsidP="00875F27">
            <w:pPr>
              <w:spacing w:after="0" w:line="240" w:lineRule="auto"/>
              <w:rPr>
                <w:rFonts w:ascii="Times New Roman" w:eastAsia="Times New Roman" w:hAnsi="Times New Roman" w:cs="Times New Roman"/>
                <w:sz w:val="20"/>
                <w:szCs w:val="20"/>
              </w:rPr>
            </w:pPr>
          </w:p>
        </w:tc>
      </w:tr>
    </w:tbl>
    <w:p w:rsidR="00875F27" w:rsidRPr="00875F27" w:rsidRDefault="00875F27" w:rsidP="00875F27">
      <w:pPr>
        <w:rPr>
          <w:rFonts w:ascii="Times New Roman" w:eastAsia="Calibri" w:hAnsi="Times New Roman" w:cs="Times New Roman"/>
          <w:sz w:val="20"/>
          <w:szCs w:val="20"/>
          <w:lang w:eastAsia="en-US"/>
        </w:rPr>
      </w:pPr>
    </w:p>
    <w:p w:rsidR="00875F27" w:rsidRDefault="00875F27" w:rsidP="00875F27">
      <w:pPr>
        <w:rPr>
          <w:rFonts w:ascii="Times New Roman" w:eastAsia="Calibri" w:hAnsi="Times New Roman" w:cs="Times New Roman"/>
          <w:b/>
          <w:sz w:val="20"/>
          <w:szCs w:val="20"/>
          <w:lang w:eastAsia="en-US"/>
        </w:rPr>
      </w:pPr>
      <w:r w:rsidRPr="00875F27">
        <w:rPr>
          <w:rFonts w:ascii="Times New Roman" w:eastAsia="Calibri" w:hAnsi="Times New Roman" w:cs="Times New Roman"/>
          <w:sz w:val="20"/>
          <w:szCs w:val="20"/>
          <w:lang w:eastAsia="en-US"/>
        </w:rPr>
        <w:t>Двести двенадцать тысяч шестьсот тридцать рублей 53 копейки</w:t>
      </w:r>
      <w:r w:rsidRPr="00875F27">
        <w:rPr>
          <w:rFonts w:ascii="Times New Roman" w:eastAsia="Calibri" w:hAnsi="Times New Roman" w:cs="Times New Roman"/>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Pr>
          <w:rFonts w:ascii="Times New Roman" w:eastAsia="Calibri" w:hAnsi="Times New Roman" w:cs="Times New Roman"/>
          <w:b/>
          <w:sz w:val="20"/>
          <w:szCs w:val="20"/>
          <w:lang w:eastAsia="en-US"/>
        </w:rPr>
        <w:t xml:space="preserve">  </w:t>
      </w:r>
    </w:p>
    <w:p w:rsidR="00875F27" w:rsidRDefault="00875F27" w:rsidP="00875F27">
      <w:pPr>
        <w:rPr>
          <w:rFonts w:ascii="Times New Roman" w:eastAsia="Calibri" w:hAnsi="Times New Roman" w:cs="Times New Roman"/>
          <w:b/>
          <w:sz w:val="20"/>
          <w:szCs w:val="20"/>
          <w:lang w:eastAsia="en-US"/>
        </w:rPr>
      </w:pPr>
    </w:p>
    <w:p w:rsidR="00875F27" w:rsidRDefault="00875F27" w:rsidP="00875F27">
      <w:pPr>
        <w:spacing w:after="0" w:line="240" w:lineRule="auto"/>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             Заказчик                                                                                                   Поставщик</w:t>
      </w:r>
    </w:p>
    <w:p w:rsidR="00875F27" w:rsidRDefault="00875F27" w:rsidP="00875F27">
      <w:pPr>
        <w:spacing w:after="0" w:line="240" w:lineRule="auto"/>
        <w:rPr>
          <w:rFonts w:ascii="Times New Roman" w:eastAsia="Calibri" w:hAnsi="Times New Roman" w:cs="Times New Roman"/>
          <w:sz w:val="20"/>
          <w:szCs w:val="20"/>
          <w:lang w:eastAsia="en-US"/>
        </w:rPr>
      </w:pPr>
    </w:p>
    <w:p w:rsidR="00875F27" w:rsidRDefault="00875F27" w:rsidP="00875F2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Проректор ________________ </w:t>
      </w:r>
      <w:proofErr w:type="spellStart"/>
      <w:r>
        <w:rPr>
          <w:rFonts w:ascii="Times New Roman" w:eastAsia="Calibri" w:hAnsi="Times New Roman" w:cs="Times New Roman"/>
          <w:sz w:val="20"/>
          <w:szCs w:val="20"/>
          <w:lang w:eastAsia="en-US"/>
        </w:rPr>
        <w:t>О.Ю.Васильев</w:t>
      </w:r>
      <w:proofErr w:type="spellEnd"/>
      <w:r>
        <w:rPr>
          <w:rFonts w:ascii="Times New Roman" w:eastAsia="Calibri" w:hAnsi="Times New Roman" w:cs="Times New Roman"/>
          <w:sz w:val="20"/>
          <w:szCs w:val="20"/>
          <w:lang w:eastAsia="en-US"/>
        </w:rPr>
        <w:t xml:space="preserve">                                 Директор ________________</w:t>
      </w:r>
      <w:proofErr w:type="spellStart"/>
      <w:r>
        <w:rPr>
          <w:rFonts w:ascii="Times New Roman" w:eastAsia="Calibri" w:hAnsi="Times New Roman" w:cs="Times New Roman"/>
          <w:sz w:val="20"/>
          <w:szCs w:val="20"/>
          <w:lang w:eastAsia="en-US"/>
        </w:rPr>
        <w:t>В.Л.Зорин</w:t>
      </w:r>
      <w:proofErr w:type="spellEnd"/>
    </w:p>
    <w:p w:rsidR="00875F27" w:rsidRPr="00875F27" w:rsidRDefault="00875F27" w:rsidP="00875F2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Электронная подпись                                                                          Электронная подпись</w:t>
      </w:r>
    </w:p>
    <w:p w:rsidR="00875F27" w:rsidRDefault="00875F27" w:rsidP="00875F27">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r w:rsidRPr="00875F27">
        <w:rPr>
          <w:rFonts w:ascii="Times New Roman" w:eastAsia="Calibri" w:hAnsi="Times New Roman" w:cs="Times New Roman"/>
          <w:b/>
          <w:sz w:val="20"/>
          <w:szCs w:val="20"/>
          <w:lang w:eastAsia="en-US"/>
        </w:rPr>
        <w:tab/>
      </w:r>
    </w:p>
    <w:sectPr w:rsidR="00875F27" w:rsidSect="001439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A9E2F7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EB"/>
    <w:rsid w:val="000457FD"/>
    <w:rsid w:val="001002B7"/>
    <w:rsid w:val="00143928"/>
    <w:rsid w:val="002A47C6"/>
    <w:rsid w:val="00563CB8"/>
    <w:rsid w:val="00647F11"/>
    <w:rsid w:val="006931EB"/>
    <w:rsid w:val="00752280"/>
    <w:rsid w:val="00875F27"/>
    <w:rsid w:val="008F0553"/>
    <w:rsid w:val="00F3553B"/>
    <w:rsid w:val="00FB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1EB"/>
    <w:rPr>
      <w:rFonts w:ascii="Tahoma" w:hAnsi="Tahoma" w:cs="Tahoma"/>
      <w:sz w:val="16"/>
      <w:szCs w:val="16"/>
    </w:rPr>
  </w:style>
  <w:style w:type="paragraph" w:styleId="a5">
    <w:name w:val="List Paragraph"/>
    <w:basedOn w:val="a"/>
    <w:uiPriority w:val="34"/>
    <w:qFormat/>
    <w:rsid w:val="006931E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4477</Words>
  <Characters>25524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4</cp:revision>
  <dcterms:created xsi:type="dcterms:W3CDTF">2016-08-08T04:04:00Z</dcterms:created>
  <dcterms:modified xsi:type="dcterms:W3CDTF">2016-08-23T09:06:00Z</dcterms:modified>
</cp:coreProperties>
</file>