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327AC4">
        <w:rPr>
          <w:rFonts w:ascii="Times New Roman" w:hAnsi="Times New Roman"/>
          <w:sz w:val="20"/>
          <w:szCs w:val="20"/>
        </w:rPr>
        <w:t>6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327AC4">
        <w:rPr>
          <w:rFonts w:ascii="Times New Roman" w:hAnsi="Times New Roman"/>
          <w:sz w:val="20"/>
          <w:szCs w:val="20"/>
        </w:rPr>
        <w:t xml:space="preserve"> от 01.03.16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F61DCC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«Комплектация»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F61DCC">
        <w:rPr>
          <w:rFonts w:ascii="Times New Roman" w:hAnsi="Times New Roman"/>
          <w:sz w:val="20"/>
          <w:szCs w:val="20"/>
        </w:rPr>
        <w:t xml:space="preserve">директора  </w:t>
      </w:r>
      <w:proofErr w:type="spellStart"/>
      <w:r w:rsidR="00F61DCC">
        <w:rPr>
          <w:rFonts w:ascii="Times New Roman" w:hAnsi="Times New Roman"/>
          <w:sz w:val="20"/>
          <w:szCs w:val="20"/>
        </w:rPr>
        <w:t>Труш</w:t>
      </w:r>
      <w:proofErr w:type="spellEnd"/>
      <w:r w:rsidR="00F61DCC">
        <w:rPr>
          <w:rFonts w:ascii="Times New Roman" w:hAnsi="Times New Roman"/>
          <w:sz w:val="20"/>
          <w:szCs w:val="20"/>
        </w:rPr>
        <w:t xml:space="preserve"> Александра Алексеевича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B71DFD" w:rsidRPr="00B71DFD">
        <w:rPr>
          <w:rFonts w:ascii="Times New Roman" w:hAnsi="Times New Roman"/>
          <w:sz w:val="20"/>
          <w:szCs w:val="20"/>
        </w:rPr>
        <w:t>37</w:t>
      </w:r>
      <w:r w:rsidR="00F61DCC">
        <w:rPr>
          <w:rFonts w:ascii="Times New Roman" w:hAnsi="Times New Roman"/>
          <w:sz w:val="20"/>
          <w:szCs w:val="20"/>
        </w:rPr>
        <w:t>/ 0351100001716000094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F61DCC">
        <w:rPr>
          <w:rFonts w:ascii="Times New Roman" w:hAnsi="Times New Roman"/>
          <w:sz w:val="20"/>
          <w:szCs w:val="20"/>
        </w:rPr>
        <w:t>ротокола  подведения итогов электронного аукциона от 06.12.2016г.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F61DCC">
        <w:rPr>
          <w:rFonts w:ascii="Times New Roman" w:hAnsi="Times New Roman"/>
          <w:sz w:val="20"/>
          <w:szCs w:val="20"/>
        </w:rPr>
        <w:t xml:space="preserve">  1 763 367,04 рублей (один миллион семьсот шестьдесят три тысячи триста шестьдесят семь рублей 04 копейки)</w:t>
      </w:r>
      <w:r w:rsidR="00D94C75">
        <w:rPr>
          <w:rFonts w:ascii="Times New Roman" w:hAnsi="Times New Roman"/>
          <w:sz w:val="20"/>
          <w:szCs w:val="20"/>
        </w:rPr>
        <w:t xml:space="preserve">, с учетом </w:t>
      </w:r>
      <w:r w:rsidR="00327AC4">
        <w:rPr>
          <w:rFonts w:ascii="Times New Roman" w:hAnsi="Times New Roman"/>
          <w:sz w:val="20"/>
          <w:szCs w:val="20"/>
        </w:rPr>
        <w:t xml:space="preserve"> </w:t>
      </w:r>
      <w:r w:rsidR="00F61DCC">
        <w:rPr>
          <w:rFonts w:ascii="Times New Roman" w:hAnsi="Times New Roman"/>
          <w:sz w:val="20"/>
          <w:szCs w:val="20"/>
        </w:rPr>
        <w:t xml:space="preserve"> </w:t>
      </w:r>
      <w:r w:rsidR="00B71DFD">
        <w:rPr>
          <w:rFonts w:ascii="Times New Roman" w:hAnsi="Times New Roman"/>
          <w:sz w:val="20"/>
          <w:szCs w:val="20"/>
        </w:rPr>
        <w:t xml:space="preserve"> НДС</w:t>
      </w:r>
      <w:r w:rsidR="00236474">
        <w:rPr>
          <w:rFonts w:ascii="Times New Roman" w:hAnsi="Times New Roman"/>
          <w:sz w:val="20"/>
          <w:szCs w:val="20"/>
        </w:rPr>
        <w:t>- 18%</w:t>
      </w:r>
      <w:r w:rsidR="00712522" w:rsidRPr="00712522">
        <w:rPr>
          <w:rFonts w:ascii="Times New Roman" w:eastAsia="DejaVu Sans" w:hAnsi="Times New Roman"/>
          <w:sz w:val="20"/>
          <w:szCs w:val="20"/>
        </w:rPr>
        <w:t>.</w:t>
      </w:r>
    </w:p>
    <w:p w:rsidR="006A44FB" w:rsidRPr="005E6C39" w:rsidRDefault="006A44FB" w:rsidP="0071252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B71D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6.3</w:t>
      </w:r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7" w:history="1">
        <w:r w:rsidR="00B71DFD" w:rsidRPr="00B71DFD">
          <w:rPr>
            <w:rFonts w:ascii="Times New Roman" w:hAnsi="Times New Roman"/>
            <w:kern w:val="0"/>
            <w:sz w:val="20"/>
            <w:szCs w:val="20"/>
            <w:lang w:eastAsia="ru-RU"/>
          </w:rPr>
          <w:t>ставки</w:t>
        </w:r>
      </w:hyperlink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proofErr w:type="gramStart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,</w:t>
      </w:r>
      <w:proofErr w:type="gramEnd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и рассчитанной в </w:t>
      </w:r>
      <w:proofErr w:type="gramStart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>порядке</w:t>
      </w:r>
      <w:proofErr w:type="gramEnd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B71DF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177 222,81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1D38F7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Default="004B6BCF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4AB5" w:rsidRPr="005E6C39" w:rsidRDefault="004C4AB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D94C75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«Комплектация»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1DCC">
              <w:rPr>
                <w:rFonts w:ascii="Times New Roman" w:hAnsi="Times New Roman" w:cs="Times New Roman"/>
                <w:sz w:val="20"/>
                <w:szCs w:val="20"/>
              </w:rPr>
              <w:t>адрес:630083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DCC">
              <w:rPr>
                <w:rFonts w:ascii="Times New Roman" w:hAnsi="Times New Roman" w:cs="Times New Roman"/>
                <w:sz w:val="20"/>
                <w:szCs w:val="20"/>
              </w:rPr>
              <w:t>Новосибирск,</w:t>
            </w:r>
          </w:p>
          <w:p w:rsidR="00F61DCC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C4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Грибоедова, д.2 оф.317  </w:t>
            </w:r>
          </w:p>
          <w:p w:rsidR="00F61DCC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</w:t>
            </w:r>
            <w:r w:rsidR="00F61DCC">
              <w:rPr>
                <w:rFonts w:ascii="Times New Roman" w:hAnsi="Times New Roman" w:cs="Times New Roman"/>
                <w:sz w:val="20"/>
                <w:szCs w:val="20"/>
              </w:rPr>
              <w:t>адрес: 630015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DCC">
              <w:rPr>
                <w:rFonts w:ascii="Times New Roman" w:hAnsi="Times New Roman" w:cs="Times New Roman"/>
                <w:sz w:val="20"/>
                <w:szCs w:val="20"/>
              </w:rPr>
              <w:t>Новосибирск,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DCC">
              <w:rPr>
                <w:rFonts w:ascii="Times New Roman" w:hAnsi="Times New Roman" w:cs="Times New Roman"/>
                <w:sz w:val="20"/>
                <w:szCs w:val="20"/>
              </w:rPr>
              <w:t>Островского, д.195 а/я 145</w:t>
            </w:r>
          </w:p>
          <w:p w:rsidR="00F61DCC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Тел.(383)399-00-21, факс 230-44-54, 913-768-7775</w:t>
            </w:r>
          </w:p>
          <w:p w:rsidR="00F61DCC" w:rsidRPr="00236474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3670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Milovidova2016@yandex.ru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61DCC" w:rsidRPr="00236474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236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7710353606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236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540743001</w:t>
            </w:r>
          </w:p>
          <w:p w:rsidR="00F61DCC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1027739207462  н/учет 16.09.15</w:t>
            </w:r>
          </w:p>
          <w:p w:rsidR="00F61DCC" w:rsidRDefault="00F61DCC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55455710  ОКТМО  50701000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40702810200400005079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№5440 ВТБ24(ПАО)    БИК 045004751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Кор./счет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30101810450040000751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AB5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А.А.Труш</w:t>
            </w:r>
            <w:proofErr w:type="spellEnd"/>
          </w:p>
          <w:p w:rsidR="004C4AB5" w:rsidRPr="00F61DCC" w:rsidRDefault="004C4AB5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4B6BCF" w:rsidRPr="001D38F7" w:rsidRDefault="004B6BCF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740827" w:rsidRDefault="00740827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P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47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236474">
        <w:rPr>
          <w:rFonts w:ascii="Times New Roman" w:hAnsi="Times New Roman"/>
          <w:sz w:val="20"/>
          <w:szCs w:val="20"/>
        </w:rPr>
        <w:t>СПЕЦИФИКАЦИЯ</w:t>
      </w:r>
    </w:p>
    <w:tbl>
      <w:tblPr>
        <w:tblW w:w="1017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0"/>
        <w:gridCol w:w="3052"/>
        <w:gridCol w:w="1180"/>
        <w:gridCol w:w="1053"/>
        <w:gridCol w:w="851"/>
        <w:gridCol w:w="1480"/>
        <w:gridCol w:w="2014"/>
      </w:tblGrid>
      <w:tr w:rsidR="00236474" w:rsidRPr="00236474" w:rsidTr="005F193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Товары, технические </w:t>
            </w:r>
            <w:proofErr w:type="spellStart"/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с НДС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страны происхождения</w:t>
            </w:r>
          </w:p>
        </w:tc>
      </w:tr>
      <w:tr w:rsidR="00236474" w:rsidRPr="00236474" w:rsidTr="005F193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Грубый ровнитель для пола, мешок 25 кг "Геркулес"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49 500,00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Кисть радиаторная, ширина 50 мм "MATREX"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810,00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Кисть плоская, ширина 100 мм "MATREX"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1 324,00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Клей для плитки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суперполимер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, мешок 25 кг "Геркулес"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52 800,00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Эмаль белая, глянцевая "Мир Красок"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5 940,00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Эмаль красно-коричневая "Мир Красок"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4 950,00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Лист гипсокартонный 2,5м*1,2м*9,5мм, ГОСТ 6266-97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Кнауф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315,50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12 620,00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Профессиональная однокомпонентная полиуретановая пена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Соудал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17 640,00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Мешки для мусора ООО "ПОЛИПАК"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Сухая штукатурная смесь на основе цемента, мешок 25 кг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Бергауф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Сухая штукатурная смесь на основе гипса, мешок 30 кг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Кнауф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Ротбанд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18,60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39 060,00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Краска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фасадная, цвет кирпичный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Тиккурила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32 940,00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Пленка полиэтиленовая 100мкр ширина 3м ООО "ПОЛИПАК"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Сэндвич панель 3000*1500 мм, толщина 10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СибПласт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19 600,00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Краска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для интерьера, цвет бежевый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Тиккурила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 Джокер G105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360 720,00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Краска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акрилатная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для интерьера, цвет белый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Тиккурила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29 745,00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гипс-дерево 3,8*25мм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гипс-дерево 3,8*35мм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гипс-дерево 3,8*41мм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гипс-дерево 3,8*51мм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гипс-дерево 3,8*65мм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Гвозди строительные 1,6х25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ВоронежПромМетиз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Фанера 10 мм 1520х1520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Свеза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Линолеум коммерческий гетерогенный, ширина 3м, цвет красно-коричневый "</w:t>
            </w:r>
            <w:r w:rsidRPr="00236474">
              <w:rPr>
                <w:rFonts w:ascii="Times New Roman" w:hAnsi="Times New Roman"/>
                <w:sz w:val="20"/>
                <w:szCs w:val="20"/>
                <w:lang w:val="en-US"/>
              </w:rPr>
              <w:t>TARKETT</w:t>
            </w:r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144 000,00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Сетка малярная 2х2мм,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1 м, длина 50 м "СДМ"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14 310,00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Скотч малярный 38 мм х 50 м "СДМ"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Эмаль акриловая для радиаторов, белая,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полуглянцевая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8 136,00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Краска акриловая интерьерная для стен, ведро 14 кг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215"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3 010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310 030,00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Решетка вентиляционная, пластиковая, цвет белый, 200х300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СибПласт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2 360,00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Грунтовка глубокого проникновения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Церезит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21 500,00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Древесноволокнистая плита 1220х2720 мм, толщ. 6,0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Свеза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7 140,00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Растворитель "Спектр" 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2 150,00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Алкидная шпатлевка-наполнитель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Тиккурила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1 739,00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14 346,75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Тримм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внутренний (7 мм), цвет белый, длина 2,5 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СибПласт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480,00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Тримм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наружный (7 мм), цвет белый, длина 2,5 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СибПласт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Диск пильный по дереву 200х30 мм, 24 зуба "BOSH"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1 083,00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4 332,00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Лента торцевая (меламин,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19 мм)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вет бук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бавария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"Едличка"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Доска отбойная, толщ. 16 мм, 2750х200 мм, цвет бук "Контур"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55 440,00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Лента шлифовальная бесконечная 75х457 мм (Р40)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Бибер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2 580,00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Лента шлифовальная бесконечная 75х457 мм (Р80)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Бибер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4 140,00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Лента шлифовальная бесконечная 75х457 мм (Р120)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Бибер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4 470,00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Керамическая плитка 200х300 мм, цвет бежевый "ВКЗ"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Декоративная радиаторная решетка из ПВХ 600х1200 мм, белая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СибПласт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5 770,00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Лента (серпянка) самоклеющаяся,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50 мм "СДМ"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562,50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Затирка для плитки влагостойкая антигрибковая, мешок 2 кг, цвет серый "ЦЕРЕЗИТ"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Затирка для плитки влагостойкая антигрибковая, мешок 2 кг, цвет белый "ЦЕРЕЗИТ"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6 400,00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Валик малярный 180мм "Намерение"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Керамогранит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светло-серый, 300х300 мм, неполированный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Атем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95 175,00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Заклепка вытяжная 4х8 мм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Древесно-стружечная плита, толщина 16 мм, ширина 1220 мм, длина 2440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Свеза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Крестики для кафеля 2 мм "Намерение"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Стекло оконное 4мм, 1300х1600 мм "Стекло оконное"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28 075,00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Петля дверная 100*70*2,0 мм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Сазар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1 360,00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Шуруп по бетону 7,5*152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434,00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Шуруп по бетону 7,5*112 "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Тех-Креп</w:t>
            </w:r>
            <w:proofErr w:type="gram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Промывка для пистолета от монтажной пены 500 мл "PUTECH"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1 770,00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Колеровочная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паста, цвет синий, 0,1 л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2 256,00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Колеровочная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паста, цвет зеленый, 0,1 л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2 256,00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Колеровочная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 xml:space="preserve"> паста, цвет желтый, 0,1 л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2 256,00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Профиль потолочный 60х27 мм длина 3м 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Стилайн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Подвесной потолок в комплекте "TL"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23647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255,50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38 325,00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Шпатлевка акриловая для внутренних работ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Шитрок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Клей ПВА емкость 1 л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Эмаль водно-алкидная, глянцевая, цвет белый "Радуга"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10 206,00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Смесь сухая штукатурная на основе цемента, 25 кг "Геркулес"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Портландцемент  (ПЦ-400), мешок 50 кг "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ИскитимЦемент</w:t>
            </w:r>
            <w:proofErr w:type="spellEnd"/>
            <w:r w:rsidRPr="00236474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499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6,50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3 243,50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9,29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36474" w:rsidRPr="00236474" w:rsidTr="005F193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1 763 367,04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474">
        <w:rPr>
          <w:rFonts w:ascii="Times New Roman" w:hAnsi="Times New Roman"/>
          <w:sz w:val="20"/>
          <w:szCs w:val="20"/>
        </w:rPr>
        <w:t>Итого: 1 763 367,04 руб. (Один миллион семьсот шестьдесят три тысячи триста шестьдесят семь) рублей 04 копеек, в том числе НДС 18% 268 988,19 рублей.</w:t>
      </w: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99"/>
      </w:tblGrid>
      <w:tr w:rsidR="00236474" w:rsidRPr="00236474" w:rsidTr="005F1933">
        <w:tc>
          <w:tcPr>
            <w:tcW w:w="4820" w:type="dxa"/>
            <w:shd w:val="clear" w:color="auto" w:fill="auto"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599" w:type="dxa"/>
            <w:shd w:val="clear" w:color="auto" w:fill="auto"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b/>
                <w:sz w:val="20"/>
                <w:szCs w:val="20"/>
              </w:rPr>
              <w:t>Поставщик</w:t>
            </w:r>
          </w:p>
        </w:tc>
      </w:tr>
      <w:tr w:rsidR="00236474" w:rsidRPr="00236474" w:rsidTr="005F1933">
        <w:trPr>
          <w:trHeight w:val="87"/>
        </w:trPr>
        <w:tc>
          <w:tcPr>
            <w:tcW w:w="4820" w:type="dxa"/>
            <w:shd w:val="clear" w:color="auto" w:fill="auto"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Проректор СГУПС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А.А.Новоселов</w:t>
            </w:r>
            <w:proofErr w:type="spellEnd"/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</w:tcPr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«Комплектация»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474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4" w:rsidRPr="00236474" w:rsidRDefault="00236474" w:rsidP="002364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236474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proofErr w:type="spellStart"/>
            <w:r w:rsidRPr="00236474">
              <w:rPr>
                <w:rFonts w:ascii="Times New Roman" w:hAnsi="Times New Roman"/>
                <w:sz w:val="20"/>
                <w:szCs w:val="20"/>
              </w:rPr>
              <w:t>Труш</w:t>
            </w:r>
            <w:proofErr w:type="spellEnd"/>
          </w:p>
        </w:tc>
      </w:tr>
    </w:tbl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36474" w:rsidRPr="00236474" w:rsidRDefault="00236474" w:rsidP="0023647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474" w:rsidRP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36474" w:rsidRPr="00236474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15D08"/>
    <w:rsid w:val="00126575"/>
    <w:rsid w:val="001457EC"/>
    <w:rsid w:val="001967D0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51BF5"/>
    <w:rsid w:val="00355864"/>
    <w:rsid w:val="00361214"/>
    <w:rsid w:val="00362D7F"/>
    <w:rsid w:val="00365691"/>
    <w:rsid w:val="00371567"/>
    <w:rsid w:val="00390D18"/>
    <w:rsid w:val="003B71BC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81107"/>
    <w:rsid w:val="00486EC1"/>
    <w:rsid w:val="00490E6E"/>
    <w:rsid w:val="004A15BE"/>
    <w:rsid w:val="004B6BCF"/>
    <w:rsid w:val="004C3DEA"/>
    <w:rsid w:val="004C4AB5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0037"/>
    <w:rsid w:val="006C1901"/>
    <w:rsid w:val="00712522"/>
    <w:rsid w:val="00713496"/>
    <w:rsid w:val="0072027B"/>
    <w:rsid w:val="007217A9"/>
    <w:rsid w:val="007351BB"/>
    <w:rsid w:val="00740827"/>
    <w:rsid w:val="00766B97"/>
    <w:rsid w:val="00794486"/>
    <w:rsid w:val="00796F6A"/>
    <w:rsid w:val="00796FAC"/>
    <w:rsid w:val="007B6D5C"/>
    <w:rsid w:val="007E524C"/>
    <w:rsid w:val="00823E86"/>
    <w:rsid w:val="00824BCD"/>
    <w:rsid w:val="00830466"/>
    <w:rsid w:val="00833BB4"/>
    <w:rsid w:val="00853076"/>
    <w:rsid w:val="008648FD"/>
    <w:rsid w:val="008E42E0"/>
    <w:rsid w:val="008E4B21"/>
    <w:rsid w:val="009145BD"/>
    <w:rsid w:val="00914871"/>
    <w:rsid w:val="0092529A"/>
    <w:rsid w:val="009371C7"/>
    <w:rsid w:val="00954EFE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1DFD"/>
    <w:rsid w:val="00B73810"/>
    <w:rsid w:val="00B97AA7"/>
    <w:rsid w:val="00BB319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675A3"/>
    <w:rsid w:val="00D713BB"/>
    <w:rsid w:val="00D76F09"/>
    <w:rsid w:val="00D83893"/>
    <w:rsid w:val="00D91F73"/>
    <w:rsid w:val="00D94C75"/>
    <w:rsid w:val="00DB6D65"/>
    <w:rsid w:val="00DB734C"/>
    <w:rsid w:val="00DE065A"/>
    <w:rsid w:val="00DE49F0"/>
    <w:rsid w:val="00E0470F"/>
    <w:rsid w:val="00E15129"/>
    <w:rsid w:val="00E21D8C"/>
    <w:rsid w:val="00E26FBD"/>
    <w:rsid w:val="00E371DE"/>
    <w:rsid w:val="00E52235"/>
    <w:rsid w:val="00E87435"/>
    <w:rsid w:val="00ED2F67"/>
    <w:rsid w:val="00ED6F13"/>
    <w:rsid w:val="00F15679"/>
    <w:rsid w:val="00F2531F"/>
    <w:rsid w:val="00F61DCC"/>
    <w:rsid w:val="00F64282"/>
    <w:rsid w:val="00FA0D9C"/>
    <w:rsid w:val="00FA369D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vidova201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5816-74AA-44B0-9CCD-C9637450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23</cp:revision>
  <cp:lastPrinted>2015-07-06T06:32:00Z</cp:lastPrinted>
  <dcterms:created xsi:type="dcterms:W3CDTF">2014-04-28T08:05:00Z</dcterms:created>
  <dcterms:modified xsi:type="dcterms:W3CDTF">2016-12-06T09:41:00Z</dcterms:modified>
</cp:coreProperties>
</file>