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  <w:r w:rsidR="00665C43">
        <w:rPr>
          <w:b/>
        </w:rPr>
        <w:t xml:space="preserve"> Заказчика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938"/>
        <w:gridCol w:w="7200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464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46412E">
              <w:rPr>
                <w:rFonts w:ascii="Arial" w:hAnsi="Arial" w:cs="Arial"/>
                <w:sz w:val="20"/>
                <w:szCs w:val="20"/>
              </w:rPr>
              <w:t>2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46412E" w:rsidRDefault="0046412E" w:rsidP="00690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46412E">
              <w:rPr>
                <w:rFonts w:ascii="Arial" w:hAnsi="Arial" w:cs="Arial"/>
                <w:sz w:val="20"/>
                <w:szCs w:val="20"/>
              </w:rPr>
              <w:t>каза</w:t>
            </w:r>
            <w:r>
              <w:rPr>
                <w:rFonts w:ascii="Arial" w:hAnsi="Arial" w:cs="Arial"/>
                <w:sz w:val="20"/>
                <w:szCs w:val="20"/>
              </w:rPr>
              <w:t>ние</w:t>
            </w:r>
            <w:r w:rsidRPr="0046412E">
              <w:rPr>
                <w:rFonts w:ascii="Arial" w:hAnsi="Arial" w:cs="Arial"/>
                <w:sz w:val="20"/>
                <w:szCs w:val="20"/>
              </w:rPr>
              <w:t xml:space="preserve"> услуг по обучению представителей Заказчика, по программе дополнительного профессионального образования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46412E">
              <w:rPr>
                <w:rFonts w:ascii="Arial" w:hAnsi="Arial" w:cs="Arial"/>
                <w:sz w:val="20"/>
                <w:szCs w:val="20"/>
              </w:rPr>
              <w:t xml:space="preserve">Управление человеческими ресурсами»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46412E">
              <w:rPr>
                <w:rFonts w:ascii="Arial" w:hAnsi="Arial" w:cs="Arial"/>
                <w:sz w:val="20"/>
                <w:szCs w:val="20"/>
              </w:rPr>
              <w:t>10 человек</w:t>
            </w:r>
            <w:r w:rsidR="00D92553">
              <w:rPr>
                <w:rFonts w:ascii="Arial" w:hAnsi="Arial" w:cs="Arial"/>
                <w:sz w:val="20"/>
                <w:szCs w:val="20"/>
              </w:rPr>
              <w:t>, очно-заочная форма обучения</w:t>
            </w:r>
            <w:r w:rsidRPr="00E51EE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 w:rsidRPr="00E51EE9">
              <w:rPr>
                <w:rFonts w:ascii="Arial" w:hAnsi="Arial" w:cs="Arial"/>
                <w:sz w:val="20"/>
                <w:szCs w:val="20"/>
              </w:rPr>
              <w:t>согласно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проекта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 договора)</w:t>
            </w:r>
          </w:p>
          <w:p w:rsidR="0046412E" w:rsidRDefault="0046412E" w:rsidP="006904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6412E" w:rsidRPr="00B254D0" w:rsidRDefault="0046412E" w:rsidP="00464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Услуги оказываются</w:t>
            </w:r>
            <w:r w:rsidRPr="0046412E">
              <w:rPr>
                <w:rFonts w:ascii="Arial" w:hAnsi="Arial" w:cs="Arial"/>
                <w:sz w:val="20"/>
                <w:szCs w:val="20"/>
              </w:rPr>
              <w:t xml:space="preserve"> во исполнение договора </w:t>
            </w:r>
            <w:r w:rsidRPr="00A050C6">
              <w:rPr>
                <w:rFonts w:ascii="Arial" w:hAnsi="Arial" w:cs="Arial"/>
                <w:sz w:val="20"/>
                <w:szCs w:val="20"/>
              </w:rPr>
              <w:t>об оказании образовательных услуг, заключенного между СГУПС и ОАО «РЖД»</w:t>
            </w:r>
            <w:r w:rsidR="00A050C6" w:rsidRPr="00A050C6">
              <w:rPr>
                <w:rFonts w:ascii="Arial" w:hAnsi="Arial" w:cs="Arial"/>
                <w:sz w:val="20"/>
                <w:szCs w:val="20"/>
              </w:rPr>
              <w:t xml:space="preserve"> №3955960 от 30.08.2018</w:t>
            </w:r>
            <w:r w:rsidRPr="00A050C6">
              <w:rPr>
                <w:rFonts w:ascii="Arial" w:hAnsi="Arial" w:cs="Arial"/>
                <w:sz w:val="20"/>
                <w:szCs w:val="20"/>
              </w:rPr>
              <w:t>, где СГУПС является исполнителем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B254D0" w:rsidRDefault="0046412E" w:rsidP="00D925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412E">
              <w:rPr>
                <w:rFonts w:ascii="Arial" w:hAnsi="Arial" w:cs="Arial"/>
                <w:sz w:val="20"/>
                <w:szCs w:val="20"/>
              </w:rPr>
              <w:t xml:space="preserve">Срок оказания Услуг – </w:t>
            </w:r>
            <w:r>
              <w:rPr>
                <w:rFonts w:ascii="Arial" w:hAnsi="Arial" w:cs="Arial"/>
                <w:sz w:val="20"/>
                <w:szCs w:val="20"/>
              </w:rPr>
              <w:t>с момента заключения договора до</w:t>
            </w:r>
            <w:r w:rsidRPr="0046412E">
              <w:rPr>
                <w:rFonts w:ascii="Arial" w:hAnsi="Arial" w:cs="Arial"/>
                <w:sz w:val="20"/>
                <w:szCs w:val="20"/>
              </w:rPr>
              <w:t xml:space="preserve"> 31 марта 2019 года.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адресу</w:t>
            </w:r>
            <w:r w:rsidRPr="004641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62CA6" w:rsidRPr="00D62CA6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="00D62CA6" w:rsidRPr="00D62CA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осква</w:t>
            </w:r>
            <w:proofErr w:type="spellEnd"/>
            <w:r w:rsidR="00D62CA6" w:rsidRPr="00D62CA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412E">
              <w:rPr>
                <w:rFonts w:ascii="Arial" w:hAnsi="Arial" w:cs="Arial"/>
                <w:sz w:val="20"/>
                <w:szCs w:val="20"/>
              </w:rPr>
              <w:t xml:space="preserve">г. Щербинка, </w:t>
            </w:r>
            <w:proofErr w:type="spellStart"/>
            <w:r w:rsidRPr="0046412E">
              <w:rPr>
                <w:rFonts w:ascii="Arial" w:hAnsi="Arial" w:cs="Arial"/>
                <w:sz w:val="20"/>
                <w:szCs w:val="20"/>
              </w:rPr>
              <w:t>Бутовский</w:t>
            </w:r>
            <w:proofErr w:type="spellEnd"/>
            <w:r w:rsidRPr="0046412E">
              <w:rPr>
                <w:rFonts w:ascii="Arial" w:hAnsi="Arial" w:cs="Arial"/>
                <w:sz w:val="20"/>
                <w:szCs w:val="20"/>
              </w:rPr>
              <w:t xml:space="preserve"> тупик, д.1а</w:t>
            </w:r>
            <w:r w:rsidR="00D62CA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(согласно проекта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3E49C6" w:rsidRDefault="003F3957" w:rsidP="0046412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</w:pPr>
            <w:r w:rsidRPr="001B2B34">
              <w:rPr>
                <w:rFonts w:ascii="Arial" w:hAnsi="Arial" w:cs="Arial"/>
                <w:sz w:val="20"/>
                <w:szCs w:val="20"/>
              </w:rPr>
              <w:t xml:space="preserve">Цена: </w:t>
            </w:r>
            <w:r w:rsidR="0046412E">
              <w:rPr>
                <w:rFonts w:ascii="Arial" w:hAnsi="Arial" w:cs="Arial"/>
                <w:sz w:val="20"/>
                <w:szCs w:val="20"/>
              </w:rPr>
              <w:t>612</w:t>
            </w:r>
            <w:r w:rsidR="00C06DA2">
              <w:rPr>
                <w:rFonts w:ascii="Arial" w:hAnsi="Arial" w:cs="Arial"/>
                <w:sz w:val="20"/>
                <w:szCs w:val="20"/>
              </w:rPr>
              <w:t xml:space="preserve"> 0</w:t>
            </w:r>
            <w:r w:rsidR="00690434">
              <w:rPr>
                <w:rFonts w:ascii="Arial" w:hAnsi="Arial" w:cs="Arial"/>
                <w:sz w:val="20"/>
                <w:szCs w:val="20"/>
              </w:rPr>
              <w:t>00</w:t>
            </w:r>
            <w:r w:rsidR="004B58BC">
              <w:rPr>
                <w:rFonts w:ascii="Arial" w:hAnsi="Arial" w:cs="Arial"/>
                <w:sz w:val="20"/>
                <w:szCs w:val="20"/>
              </w:rPr>
              <w:t>,00</w:t>
            </w:r>
            <w:r w:rsidR="00D517CA" w:rsidRPr="001B2B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651C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8D1E36" w:rsidRP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Общая стоимость </w:t>
            </w:r>
            <w:r w:rsidR="00D9255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услуг </w:t>
            </w:r>
            <w:r w:rsid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включает в себя все затраты необходи</w:t>
            </w:r>
            <w:r w:rsidR="008D1E36" w:rsidRP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мы</w:t>
            </w:r>
            <w:r w:rsidR="00CF02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="008D1E36" w:rsidRP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для оказания услуг по предмету договора,</w:t>
            </w:r>
            <w:r w:rsid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F02A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 также </w:t>
            </w:r>
            <w:r w:rsidR="008D1E36" w:rsidRPr="008D1E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уплате налогов, сборов, пошлин и других необходимых платежей</w:t>
            </w:r>
            <w:r w:rsidR="00C83847" w:rsidRPr="0034651C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)</w:t>
            </w:r>
            <w:r w:rsidR="004A0178">
              <w:rPr>
                <w:rFonts w:ascii="Arial" w:eastAsia="Times New Roman" w:hAnsi="Arial" w:cs="Arial"/>
                <w:kern w:val="1"/>
                <w:sz w:val="20"/>
                <w:szCs w:val="20"/>
                <w:lang w:eastAsia="ar-SA"/>
              </w:rPr>
              <w:t>, согласно проекта договора.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D9255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D92553" w:rsidRPr="00D92553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поэтапно в соответствии с Календарным планом в течение 20 календарных дней после подписания Сторонами акта сдачи-приемки этапа оказанных Услуг</w:t>
            </w:r>
            <w:r w:rsidR="00E51EE9" w:rsidRPr="00E51EE9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A050C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(согласно проекту</w:t>
            </w:r>
            <w:bookmarkStart w:id="0" w:name="_GoBack"/>
            <w:bookmarkEnd w:id="0"/>
            <w:r w:rsidR="008D1E3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C06DA2" w:rsidRPr="00C06DA2" w:rsidRDefault="00C06DA2" w:rsidP="00C06D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06DA2">
              <w:rPr>
                <w:rFonts w:ascii="Arial" w:hAnsi="Arial" w:cs="Arial"/>
                <w:sz w:val="18"/>
                <w:szCs w:val="18"/>
              </w:rPr>
              <w:t>-</w:t>
            </w:r>
            <w:r w:rsidRPr="0046412E">
              <w:rPr>
                <w:rFonts w:ascii="Arial" w:hAnsi="Arial" w:cs="Arial"/>
                <w:sz w:val="18"/>
                <w:szCs w:val="18"/>
                <w:highlight w:val="yellow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</w:t>
            </w:r>
            <w:r w:rsidR="000B6DA3" w:rsidRPr="0046412E">
              <w:rPr>
                <w:rFonts w:ascii="Arial" w:hAnsi="Arial" w:cs="Arial"/>
                <w:sz w:val="18"/>
                <w:szCs w:val="18"/>
                <w:highlight w:val="yellow"/>
              </w:rPr>
              <w:t>,</w:t>
            </w:r>
            <w:r w:rsidR="000B6DA3" w:rsidRPr="0046412E">
              <w:rPr>
                <w:highlight w:val="yellow"/>
              </w:rPr>
              <w:t xml:space="preserve"> с</w:t>
            </w:r>
            <w:r w:rsidR="000B6DA3" w:rsidRPr="0046412E">
              <w:rPr>
                <w:rFonts w:ascii="Arial" w:hAnsi="Arial" w:cs="Arial"/>
                <w:sz w:val="18"/>
                <w:szCs w:val="18"/>
                <w:highlight w:val="yellow"/>
              </w:rPr>
              <w:t>видетельство о государственной аккредитации</w:t>
            </w:r>
            <w:r w:rsidRPr="0046412E">
              <w:rPr>
                <w:rFonts w:ascii="Arial" w:hAnsi="Arial" w:cs="Arial"/>
                <w:sz w:val="18"/>
                <w:szCs w:val="18"/>
                <w:highlight w:val="yellow"/>
              </w:rPr>
              <w:t>);</w:t>
            </w:r>
          </w:p>
          <w:p w:rsidR="003F3957" w:rsidRPr="00B254D0" w:rsidRDefault="003F3957" w:rsidP="00C06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C06D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 xml:space="preserve">Приложением к настоящей документации является заполненный (не заполненный) проект договора, заключаемый по предмету закупки с единственным </w:t>
      </w:r>
      <w:r w:rsidRPr="00E77CA1">
        <w:rPr>
          <w:b/>
        </w:rPr>
        <w:t>поставщиком (подрядчиком, исполнителем).</w:t>
      </w:r>
    </w:p>
    <w:p w:rsidR="00936804" w:rsidRPr="00E77CA1" w:rsidRDefault="00936804" w:rsidP="003F3957">
      <w:pPr>
        <w:spacing w:after="0" w:line="240" w:lineRule="auto"/>
        <w:jc w:val="both"/>
        <w:rPr>
          <w:b/>
        </w:rPr>
      </w:pPr>
    </w:p>
    <w:p w:rsidR="00D62CA6" w:rsidRDefault="00936804" w:rsidP="00D62CA6">
      <w:pPr>
        <w:spacing w:after="0" w:line="240" w:lineRule="auto"/>
        <w:jc w:val="center"/>
        <w:rPr>
          <w:rFonts w:ascii="Arial" w:eastAsiaTheme="minorEastAsia" w:hAnsi="Arial" w:cs="Arial"/>
          <w:b/>
          <w:sz w:val="18"/>
          <w:szCs w:val="20"/>
          <w:lang w:eastAsia="ru-RU"/>
        </w:rPr>
      </w:pPr>
      <w:r>
        <w:rPr>
          <w:rFonts w:ascii="Arial" w:hAnsi="Arial" w:cs="Arial"/>
          <w:b/>
          <w:sz w:val="20"/>
          <w:szCs w:val="20"/>
        </w:rPr>
        <w:t xml:space="preserve">ПРОЕКТ </w:t>
      </w:r>
      <w:r w:rsidR="00D62CA6" w:rsidRPr="00D62CA6">
        <w:rPr>
          <w:rFonts w:ascii="Arial" w:eastAsiaTheme="minorEastAsia" w:hAnsi="Arial" w:cs="Arial"/>
          <w:b/>
          <w:sz w:val="18"/>
          <w:szCs w:val="20"/>
          <w:lang w:eastAsia="ru-RU"/>
        </w:rPr>
        <w:t>ДОГОВОР</w:t>
      </w:r>
      <w:r w:rsidR="00C06DA2">
        <w:rPr>
          <w:rFonts w:ascii="Arial" w:eastAsiaTheme="minorEastAsia" w:hAnsi="Arial" w:cs="Arial"/>
          <w:b/>
          <w:sz w:val="18"/>
          <w:szCs w:val="20"/>
          <w:lang w:eastAsia="ru-RU"/>
        </w:rPr>
        <w:t>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left="-709" w:hanging="709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left="-709" w:hanging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Д  О  Г О  В  О  </w:t>
      </w:r>
      <w:proofErr w:type="gramStart"/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</w:t>
      </w:r>
      <w:proofErr w:type="gramEnd"/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№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образовании на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дополнительным образовательным программам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Новосибирск                                                                                           «____»_________  2018 г.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Сибирский</w:t>
      </w:r>
      <w:r w:rsidRPr="00A050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государственный университет путей сообщения» (СГУПС), </w:t>
      </w:r>
      <w:r w:rsidRPr="00A05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осуществляющее образовательную деятельность на основании л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ицензии № 2140 от 17 мая 2016 года серия 90Л01 № 0009179, выданной Федеральной службой по надзору в сфере образования и науки, именуемое в </w:t>
      </w:r>
      <w:r w:rsidRPr="00A050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дальнейшем (далее – Заказчик), в лице ректора СГУПС  Манакова Алексея Леонидовича, действующего на основании Устава СГУПС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</w:t>
      </w: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стороны, и</w:t>
      </w:r>
      <w:proofErr w:type="gramEnd"/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«Корпоративный университет РЖД» 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(АНО ДПО «Корпоративный университет РЖД»),</w:t>
      </w: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именуемое в дальнейшем «Исполнитель», в лице директора </w:t>
      </w:r>
      <w:proofErr w:type="spell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Баскина</w:t>
      </w:r>
      <w:proofErr w:type="spell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Романа Валерьевича, действующего на основании устава, с</w:t>
      </w: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другой стороны,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совместно именуемые Стороны на основании Федерального закона от 18.07.2011г. №223-ФЗ и  в соответствии с подпунктом 2 пункта 5.1 Положения о закупке Заказчика заключили настоящий Договор о нижеследующем: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0C6" w:rsidRPr="00A050C6" w:rsidRDefault="00A050C6" w:rsidP="00A050C6">
      <w:pPr>
        <w:keepNext/>
        <w:tabs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left="1211" w:hanging="3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 Предмет Договора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 Исполнитель обязуется оказать услуги по обучению представителей Заказчика, численностью 10 (десять) человек (далее – Обучающиеся), по программе дополнительного профессионального образования (программе повышения квалификации) </w:t>
      </w: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человеческими ресурсами» (далее – Программа / Услуги), а Заказчик обязуется принять и оплатить Услуги.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Реализация Программы производится Сторонами совместно согласно пункту 1 статьи 13 и статьи 15 Федерального закона № 273-ФЗ от 29.12.2012 г. «Об образовании в Российской Федерации».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Учебный план Программы является Приложением №1 к настоящему Договору.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Общий объем Программы – 550 (Пятьсот пятьдесят) академических часов.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 осуществляет реализацию Программы по месту своего нахождения: г. Москва, г. Щербинка, </w:t>
      </w:r>
      <w:proofErr w:type="spell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Бутовский</w:t>
      </w:r>
      <w:proofErr w:type="spell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тупик, д.1а. Общий объем Программы, реализуемый Исполнителем, составляет 212 (двести двенадцать) академических часов.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Услуги оказываются во исполнение договора №3955960 от 30» августа 2018г. на оказание образовательных услуг, заключенного между СГУПС и ОАО «РЖД», где СГУПС является Исполнителем.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1.6. Список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является Приложением №2 к настоящему Договору.</w:t>
      </w:r>
    </w:p>
    <w:p w:rsidR="00A050C6" w:rsidRPr="00A050C6" w:rsidRDefault="00A050C6" w:rsidP="00A050C6">
      <w:pPr>
        <w:shd w:val="clear" w:color="auto" w:fill="FFFFFF"/>
        <w:overflowPunct w:val="0"/>
        <w:autoSpaceDE w:val="0"/>
        <w:autoSpaceDN w:val="0"/>
        <w:adjustRightInd w:val="0"/>
        <w:spacing w:before="10" w:after="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1.7. Срок начала оказания </w:t>
      </w: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– с момента заключения договора. С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рок окончания оказания Услуг по настоящему Договору – 31 марта 2019 года. </w:t>
      </w:r>
    </w:p>
    <w:p w:rsidR="00A050C6" w:rsidRPr="00A050C6" w:rsidRDefault="00A050C6" w:rsidP="00A050C6">
      <w:pPr>
        <w:shd w:val="clear" w:color="auto" w:fill="FFFFFF"/>
        <w:overflowPunct w:val="0"/>
        <w:autoSpaceDE w:val="0"/>
        <w:autoSpaceDN w:val="0"/>
        <w:adjustRightInd w:val="0"/>
        <w:spacing w:before="10" w:after="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 оказания этапов Услуг определяются Календарным планом (приложение № 3).</w:t>
      </w:r>
    </w:p>
    <w:p w:rsidR="00A050C6" w:rsidRPr="00A050C6" w:rsidRDefault="00A050C6" w:rsidP="00A050C6">
      <w:pPr>
        <w:shd w:val="clear" w:color="auto" w:fill="FFFFFF"/>
        <w:overflowPunct w:val="0"/>
        <w:autoSpaceDE w:val="0"/>
        <w:autoSpaceDN w:val="0"/>
        <w:adjustRightInd w:val="0"/>
        <w:spacing w:before="10" w:after="0" w:line="300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1.8. Форма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 по Программе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очно-заочная.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050C6" w:rsidRPr="00A050C6" w:rsidRDefault="00A050C6" w:rsidP="00A050C6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>Положения о сетевом взаимодействии</w:t>
      </w:r>
    </w:p>
    <w:p w:rsidR="00A050C6" w:rsidRPr="00A050C6" w:rsidRDefault="00A050C6" w:rsidP="00A050C6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Стороны совместно разрабатывают, дорабатывают, утверждают и реализуют Программу. Факт утверждения образовательной Программы подтверждается Исполнителем и Заказчиком путем проставления подписи и печати уполномоченных представителей на титульном листе Программы. </w:t>
      </w:r>
    </w:p>
    <w:p w:rsidR="00A050C6" w:rsidRPr="00A050C6" w:rsidRDefault="00A050C6" w:rsidP="00A050C6">
      <w:pPr>
        <w:widowControl w:val="0"/>
        <w:numPr>
          <w:ilvl w:val="1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Для реализации Программы Заказчик предоставляет следующие ресурсы: материально-технические, учебно-методические, электронные информационно-образовательные, кадровые, организационно-методические.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В обязанности Заказчик в процессе сетевой реализации Программы входит: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разработка, актуализация и утверждение Программы в соответствии с локальными нормативными актами Заказчика;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определение порядка и сроков комплектования групп Обучающихся;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осуществление зачисления Обучающихся на обучение по Программе, в порядке и на условиях, определенных локальными нормативными актами Заказчик.</w:t>
      </w:r>
      <w:proofErr w:type="gramEnd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Статус лиц, осваивающих Программу – </w:t>
      </w:r>
      <w:proofErr w:type="gramStart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Обучающиеся</w:t>
      </w:r>
      <w:proofErr w:type="gramEnd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СГУПС; 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предоставление необходимых помещений и материально-технической базы для проведения учебных занятий, соответствующих санитарным и гигиеническим требованиям, а также необходимого оснащения, соответствующего обязательным нормам и правилам, предъявляемым к образовательному процессу, по месту реализации Программы Заказчиком;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1" w:name="_Hlk515886822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предоставление материально-технических ресурсов, в том числе в виде учебно-методических материалов для Обучающихся и преподавателей, привлекаемых к проведению учебных занятий, в рамках реализации заказчиком той или иной части Программы;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хранение учебно-методических материалов, используемых для обучения Обучающихся по соответствующим разделам Программы по месту реализации Заказчиком Программы;</w:t>
      </w:r>
    </w:p>
    <w:bookmarkEnd w:id="1"/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предоставление кадровых ресурсов и проведение учебных занятий квалифицированными преподавателями Заказчика по соответствующей части Программы;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2" w:name="_Hlk515886892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предоставление </w:t>
      </w:r>
      <w:proofErr w:type="gramStart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Обучающимся</w:t>
      </w:r>
      <w:proofErr w:type="gramEnd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доступа к электронной информационно-образовательной среде, расположенной на портале Заказчика.</w:t>
      </w:r>
      <w:bookmarkEnd w:id="2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выдача удостоверений о повышении квалификации Обучающимся, завершившим </w:t>
      </w:r>
      <w:proofErr w:type="gramStart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обучение по Программе</w:t>
      </w:r>
      <w:proofErr w:type="gramEnd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прошедшим итоговую аттестацию;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выдача справок об обучении Обучающимся, не завершившим обучение или не прошедшим итоговую аттестацию;</w:t>
      </w:r>
    </w:p>
    <w:p w:rsidR="00A050C6" w:rsidRPr="00A050C6" w:rsidRDefault="00A050C6" w:rsidP="00A050C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контроль качества проведения учебных занятий и качества выдаваемых учебно-методических материалов.</w:t>
      </w:r>
    </w:p>
    <w:p w:rsidR="00A050C6" w:rsidRPr="00A050C6" w:rsidRDefault="00A050C6" w:rsidP="00A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2.3. Для реализации Программы Исполнитель предоставляет следующие ресурсы: материально-технические, учебно-методические, электронные информационно-образовательные, кадровые, организационно-методические.</w:t>
      </w:r>
    </w:p>
    <w:p w:rsidR="00A050C6" w:rsidRPr="00A050C6" w:rsidRDefault="00A050C6" w:rsidP="00A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обязанности Исполнителя в процессе сетевой реализации Программы входит: </w:t>
      </w:r>
    </w:p>
    <w:p w:rsidR="00A050C6" w:rsidRPr="00A050C6" w:rsidRDefault="00A050C6" w:rsidP="00A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разработка, актуализация и утверждение Программы в соответствии с локальными нормативными актами Исполнителя;</w:t>
      </w:r>
    </w:p>
    <w:p w:rsidR="00A050C6" w:rsidRPr="00A050C6" w:rsidRDefault="00A050C6" w:rsidP="00A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предоставление необходимых помещений и материально-технической базы для проведения учебных занятий, соответствующих санитарным и гигиеническим требованиям, а также необходимого оснащения, соответствующего обязательным нормам и правилам, предъявляемым к образовательному процессу, по месту реализации Программы Исполнителем;</w:t>
      </w:r>
    </w:p>
    <w:p w:rsidR="00A050C6" w:rsidRPr="00A050C6" w:rsidRDefault="00A050C6" w:rsidP="00A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предоставление материально-технических ресурсов, в том числе в виде учебно-методических материалов для Обучающихся и преподавателей, привлекаемых к проведению учебных занятий, в рамках реализации заказчиком той или иной части Программы;</w:t>
      </w:r>
    </w:p>
    <w:p w:rsidR="00A050C6" w:rsidRPr="00A050C6" w:rsidRDefault="00A050C6" w:rsidP="00A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хранение учебно-методических материалов, используемых для обучения </w:t>
      </w: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Обучающихся по соответствующим разделам Программы по месту реализации Исполнителем Программы;</w:t>
      </w:r>
    </w:p>
    <w:p w:rsidR="00A050C6" w:rsidRPr="00A050C6" w:rsidRDefault="00A050C6" w:rsidP="00A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- предоставление кадровых ресурсов и проведение учебных занятий квалифицированными преподавателями Исполнителя по соответствующей части Программы;</w:t>
      </w:r>
    </w:p>
    <w:p w:rsidR="00A050C6" w:rsidRPr="00A050C6" w:rsidRDefault="00A050C6" w:rsidP="00A050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предоставление </w:t>
      </w:r>
      <w:proofErr w:type="gramStart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Обучающимся</w:t>
      </w:r>
      <w:proofErr w:type="gramEnd"/>
      <w:r w:rsidRPr="00A050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доступа к электронной информационно-образовательной среде, расположенной на портале Исполнителя. </w:t>
      </w:r>
    </w:p>
    <w:p w:rsidR="00A050C6" w:rsidRPr="00A050C6" w:rsidRDefault="00A050C6" w:rsidP="00A050C6">
      <w:pPr>
        <w:keepNext/>
        <w:tabs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left="1211" w:hanging="3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  Права и обязанности Сторон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3.1. Исполнитель обязан: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3.1.1. Организовать и обеспечить надлежащее предоставление образовательных услуг, предусмотренных разделом 1 настоящего Договора. Программой и расписанием занятий Исполнителя.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3.1.2. Обеспечить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предусмотренные Программой условия ее освоения.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3.1.3. Сохранить место за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предусмотренных разделом 1 настоящего Договора).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3.1.4. Обеспечить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Обучающимся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уважение человеческого достоинства, защиту от всех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форм физического и психического насилия, оскорбления личности, охрану жизни и здоровья.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Заказчик обязан: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3.2.1.  Направить Обучающихся на обучение после согласования с Исполнителем срока проведения обучения и обеспечить посещение ими всех учебных занятий, предусмотренных учебным планом Программы.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3.2.2. Своевременно вносить плату за предоставляемые Услуги, указанные в разделе 1 настоящего Договора, в размере и порядке,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определенных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настоящим Договором, а также подтверждать платежным документом такую оплату.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3.2.3. Обеспечить бережное отношение со стороны Обучающихся Заказчика к имуществу Исполнителя; в полном объеме возмещать ущерб, причиненный имуществу Исполнителя в соответствии с законодательством РФ.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3.2.4. Довести до Обучающихся информацию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их правах и обязанностях: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3.2.4.1.  Обучающиеся, приступая к обучению в АНО ДПО «Корпоративный университет «РЖД», обязаны заполнить анкету слушателя, в котором указывают место своего жительства и номер телефона, а также подписать согласие на обработку персональных данных.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3.2.4.2. Обучающиеся обязаны соблюдать требования, установленные в п.3.3. настоящего Договора и в статье 43 Федерального закона от 29 декабря 2012 г. № 273-ФЗ «Об образовании в Российской Федерации», в том числе: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Выполнять задания для подготовки к занятиям, предусмотренным соответствующим учебным планом, в том числе индивидуальным.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Извещать Исполнителя о причинах отсутствия на занятиях.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3.2.4.3. Соблюдать требования учредительных документов, правила внутреннего распорядка и иные локальные нормативные акты Исполнителя; общепринятые нормы поведения,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3.2.4.4. Обучающимся предоставляются академические права в соответствии с частью 1 статьи 34 Федерального закона от 29 декабря 2012 г. № 273 «Об образовании в Российской Федерации». Обучающиеся также вправе: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3.2.4.5. Получать информацию от Исполнителя: по вопросам организации и обеспечения надлежащего предоставления услуг, предусмотренных разделом 1 настоящего Договора.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3.2.4.6. Обращаться к Исполнителю по вопросам, касающимся образовательного процесса.    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3.2.4.7. Пользоваться в порядке, установленном локальными нормативными актами, имуществом Исполнителя, необходимым для освоения Программы.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3.2.4.8.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3.2.4.9.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Исполнитель вправе: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3.3.1. Самостоятельно осуществлять образовательный процесс в соответствии с Программой.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3.3.2. Применять к Обучающимся меры поощрения и меры дисциплинарного взыскания в соответствии с законодательством Российской Федерации, учредительными документами «Исполнителя», настоящим Договором и локальными нормативными актами Исполнителя.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4.  Стоимость Услуг, сроки и порядок их оплаты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4.1. Стоимость обучения одного Обучающегося составляет 61 200 (Шестьдесят одна тысяча двести) рублей 00 копеек, НДС не облагается (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главы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 статьи 149 пункта 2 подпункта 14 Налогового кодекса Российской Федерации).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4.2. Полная стоимость Услуг за весь период обучения Обучающихся по настоящему Договору составляет 612 000 (Шестьсот двенадцать тысяч) рублей 00 копеек. НДС не облагается (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согласно главы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21 статьи 149 пункта 2 подпункта 14 Налогового кодекса Российской Федерации).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Увеличение стоимости Услуг после заключения настоящего Договора не допускается.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4.3.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Оплата Заказчиком оказанных Исполнителем Услуг осуществляется поэтапно в соответствии с Календарным планом в течение 20 (двадцати) календарных дней после подписания Сторонами акта сдачи-приемки этапа оказанных Услуг (далее – Акт) с приложением документов, указанных в  пункте 5.1 настоящего Договора, и получения Заказчиком счета путем перечисления Заказчиком денежных средств на расчетный счет Исполнителя, указанный в разделе 10 настоящего Договора.</w:t>
      </w:r>
      <w:proofErr w:type="gramEnd"/>
    </w:p>
    <w:p w:rsidR="00A050C6" w:rsidRPr="00A050C6" w:rsidRDefault="00A050C6" w:rsidP="00A050C6">
      <w:pPr>
        <w:tabs>
          <w:tab w:val="left" w:pos="1560"/>
        </w:tabs>
        <w:overflowPunct w:val="0"/>
        <w:autoSpaceDE w:val="0"/>
        <w:autoSpaceDN w:val="0"/>
        <w:adjustRightInd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Обязанность Заказчика по оплате Услуг считается исполненной в момент списания денежных средств со счета Заказчика. </w:t>
      </w:r>
    </w:p>
    <w:p w:rsidR="00A050C6" w:rsidRPr="00A050C6" w:rsidRDefault="00A050C6" w:rsidP="00A050C6">
      <w:pPr>
        <w:spacing w:after="0" w:line="300" w:lineRule="exact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300" w:lineRule="exact"/>
        <w:ind w:left="36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5. Порядок сдачи и приемки Услуг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300" w:lineRule="exact"/>
        <w:ind w:firstLine="9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завершении оказания каждого этапа Услуг, предусмотренного Календарным планом, Исполнитель представляет Заказчику отчет об оказании Услуг, содержащий результаты прохождения Обучающимися реализуемых Исполнителем модулей Программы, подписанный со своей стороны, а также Акт в двух экземплярах с приложением списка Обучающихся, прошедших обучение по данному этапу Услуг. </w:t>
      </w:r>
      <w:proofErr w:type="gramEnd"/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300" w:lineRule="exact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 Заказчик в течение 15 (пятнадцати) календарных дней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получения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Акта направляет Исполнителю подписанный Акт или мотивированный отказ от приемки Услуг.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300" w:lineRule="exact"/>
        <w:ind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наличии мотивированного отказа Заказчика от приемки Услуг Сторонами составляется акт с перечнем выявленных недостатков при оказании Услуг по настоящему Договору, который может служить основанием для соразмерного уменьшения цены настоящего Договора. 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300" w:lineRule="exac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5.3.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с составлением акта сверки взаимных расчетов по форме, представленной Заказчиком.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050C6" w:rsidRPr="00A050C6" w:rsidRDefault="00A050C6" w:rsidP="00A050C6">
      <w:pPr>
        <w:keepNext/>
        <w:tabs>
          <w:tab w:val="num" w:pos="1211"/>
        </w:tabs>
        <w:overflowPunct w:val="0"/>
        <w:autoSpaceDE w:val="0"/>
        <w:autoSpaceDN w:val="0"/>
        <w:adjustRightInd w:val="0"/>
        <w:spacing w:after="0" w:line="240" w:lineRule="auto"/>
        <w:ind w:left="1211" w:hanging="360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6. Основания изменения и расторжения Договора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6.2. Настоящий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расторгнут по соглашению Сторон. А также в одностороннем порядке.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6.4.  Исполнитель вправе отказаться от исполнения обязательств по Договору при условии полного возмещения Заказчику убытков.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6.5.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настоящему Договору.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Ответственность Сторон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7.1. За неисполнение или ненадлежащее исполнение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 При обнаружении недостатка образовательной услуги, в том числе оказания ее не в полном  объеме, предусмотренном образовательной программой, Заказчик вправе по своему выбору потребовать: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7.2.1. Безвозмездного оказания образовательной услуги;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7.2.2. Соразмерного уменьшения стоимости оказанной образовательной услуги;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7.2.3. Возмещения понесенных им расходов по устранению недостатков оказанной образовательной услуги своими силами или третьими лицами;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7.3. </w:t>
      </w:r>
      <w:proofErr w:type="gramStart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Договора и потребовать полного возмещения убытков, если в согласованной сторонами срок недостатки образовательной услуги не устранены Исполнителем.</w:t>
      </w:r>
      <w:proofErr w:type="gramEnd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7.4.3. Потребовать уменьшения стоимости образовательной услуги;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7.4.4. Расторгнуть настоящий Договор.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7.5.   Заказчик вправе потребовать полного возмещения убытков, причиненных ему в связи с нарушением сроков начала и (или) окончания оказания образовательной программы, а также в связи с недостатками образовательной программы.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7.6.  В случае просрочки Заказчиком оплаты за обучение, Исполнитель вправе потребовать оплаты неустойки в размере 1/300 ключевой ставки Центрального банка Российской Федерации за каждый день просрочки.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7.7. </w:t>
      </w:r>
      <w:proofErr w:type="gramStart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в соответствии с действующим законодательством и локальными актами АНО ДПО «Корпоративный университет РЖД».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8. Срок действия Договора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Настоящий Договор вступает в силу со дня его подписания Сторонами и действует по 31 марта 2019 года, а в части взаимных расчетов до полного исполнения Сторонами своих обязательств.</w:t>
      </w: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</w:t>
      </w: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9. Заключительные положения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 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Настоящий Договор составлен в 2-х подлинных экземплярах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9.3.   К настоящему Договору прилагаются и являются его неотъемлемыми частями: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9.3.1. Учебный план программы повышения квалификации «Управление человеческими ресурсами» (приложение № 1);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9.3.2. </w:t>
      </w:r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Список </w:t>
      </w:r>
      <w:proofErr w:type="gramStart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A050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050C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(приложение № 2);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 xml:space="preserve">           9.3.3. </w:t>
      </w:r>
      <w:r w:rsidRPr="00A050C6">
        <w:rPr>
          <w:rFonts w:ascii="Times New Roman" w:eastAsia="Times New Roman" w:hAnsi="Times New Roman" w:cs="Times New Roman"/>
          <w:color w:val="000000" w:themeColor="text1"/>
          <w:kern w:val="32"/>
          <w:sz w:val="24"/>
          <w:szCs w:val="24"/>
          <w:lang w:eastAsia="ru-RU"/>
        </w:rPr>
        <w:t xml:space="preserve">Календарный план </w:t>
      </w:r>
      <w:r w:rsidRPr="00A050C6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  <w:lang w:eastAsia="ru-RU"/>
        </w:rPr>
        <w:t>(приложение № 3).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05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10</w:t>
      </w: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Адреса и реквизиты Сторон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25"/>
      </w:tblGrid>
      <w:tr w:rsidR="00A050C6" w:rsidRPr="00A050C6" w:rsidTr="00C056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ИСПОЛНИТЕЛЬ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ЗАКАЗЧИК</w:t>
            </w:r>
          </w:p>
        </w:tc>
      </w:tr>
      <w:tr w:rsidR="00A050C6" w:rsidRPr="00A050C6" w:rsidTr="00C056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«Корпоративный университет РЖД»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адрес: 108851</w:t>
            </w:r>
            <w:r w:rsidRPr="00A050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г. Москва, </w:t>
            </w:r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Щербинка, </w:t>
            </w:r>
            <w:proofErr w:type="spellStart"/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>Бутовский</w:t>
            </w:r>
            <w:proofErr w:type="spellEnd"/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тупик</w:t>
            </w:r>
            <w:r w:rsidRPr="00A050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</w:t>
            </w:r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1а </w:t>
            </w:r>
            <w:proofErr w:type="gramEnd"/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>7708238081,</w:t>
            </w:r>
            <w:r w:rsidRPr="00A050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КПП </w:t>
            </w:r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>775101001,</w:t>
            </w:r>
          </w:p>
          <w:p w:rsidR="00A050C6" w:rsidRPr="00A050C6" w:rsidRDefault="00A050C6" w:rsidP="00A050C6">
            <w:pPr>
              <w:tabs>
                <w:tab w:val="num" w:pos="0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A05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</w:t>
            </w:r>
            <w:proofErr w:type="gramEnd"/>
            <w:r w:rsidRPr="00A05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/</w:t>
            </w:r>
            <w:proofErr w:type="spellStart"/>
            <w:r w:rsidRPr="00A05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сч</w:t>
            </w:r>
            <w:proofErr w:type="spellEnd"/>
            <w:r w:rsidRPr="00A05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40703810400450000002 </w:t>
            </w:r>
          </w:p>
          <w:p w:rsidR="00A050C6" w:rsidRPr="00A050C6" w:rsidRDefault="00A050C6" w:rsidP="00A050C6">
            <w:pPr>
              <w:tabs>
                <w:tab w:val="num" w:pos="0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Банк ВТБ (ПАО) г. Москва,</w:t>
            </w:r>
          </w:p>
          <w:p w:rsidR="00A050C6" w:rsidRPr="00A050C6" w:rsidRDefault="00A050C6" w:rsidP="00A050C6">
            <w:pPr>
              <w:tabs>
                <w:tab w:val="num" w:pos="0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gramStart"/>
            <w:r w:rsidRPr="00A05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</w:t>
            </w:r>
            <w:proofErr w:type="gramEnd"/>
            <w:r w:rsidRPr="00A05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/счет 30101810700000000187 </w:t>
            </w:r>
          </w:p>
          <w:p w:rsidR="00A050C6" w:rsidRPr="00A050C6" w:rsidRDefault="00A050C6" w:rsidP="00A050C6">
            <w:pPr>
              <w:tabs>
                <w:tab w:val="num" w:pos="0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БИК 044525187, </w:t>
            </w:r>
          </w:p>
          <w:p w:rsidR="00A050C6" w:rsidRPr="00A050C6" w:rsidRDefault="00A050C6" w:rsidP="00A050C6">
            <w:pPr>
              <w:tabs>
                <w:tab w:val="num" w:pos="0"/>
              </w:tabs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ОГРН 1107799020460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адрес:107078, г. Москва, а/я 87.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>Тел. 8(</w:t>
            </w:r>
            <w:r w:rsidRPr="00A050C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499</w:t>
            </w:r>
            <w:r w:rsidRPr="00A050C6">
              <w:rPr>
                <w:rFonts w:ascii="Times New Roman" w:eastAsia="Calibri" w:hAnsi="Times New Roman" w:cs="Times New Roman"/>
                <w:sz w:val="24"/>
                <w:szCs w:val="24"/>
              </w:rPr>
              <w:t>)262-47-71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тел./факс 8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383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22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9-58-90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путей сообщения» 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630049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г. Новосибирск, ул. Дуси Ковальчук, д. 191.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ИНН 5402113155 КПП 540201001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50701000001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1025401011680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Банк: СИБИРСКОЕ ГУ БАНКА РОССИИ Г. НОВОСИБИРСК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Получатель: УФК по Новосибирской области (СГУПС л/с 20516Х38290)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БИК 045004001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Расчетный счет: № 40501810700042000002.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КБК 00000000000000000130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доходы от оказания платных услуг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тел./факс 8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383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22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9-58-90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0C6" w:rsidRPr="00A050C6" w:rsidTr="00C056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Исполнителя</w:t>
            </w:r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 xml:space="preserve">Директор АНО ДПО </w:t>
            </w:r>
          </w:p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>«Корпоративный университет РЖД»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 Заказчика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Ректор СГУПС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0C6" w:rsidRPr="00A050C6" w:rsidTr="00C056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____________ Р.В. </w:t>
            </w:r>
            <w:proofErr w:type="spellStart"/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Баскин</w:t>
            </w:r>
            <w:proofErr w:type="spellEnd"/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А.Л. Манаков  </w:t>
            </w:r>
          </w:p>
        </w:tc>
      </w:tr>
    </w:tbl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50C6" w:rsidRPr="00A050C6" w:rsidSect="00326CB5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Приложение №1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к договору №_____________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«____» ____________2018 г.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повышения квалификации «Управление человеческими ресурсами»</w:t>
      </w:r>
      <w:r w:rsidRPr="00A050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12"/>
        <w:gridCol w:w="4391"/>
        <w:gridCol w:w="1951"/>
        <w:gridCol w:w="1215"/>
        <w:gridCol w:w="1376"/>
      </w:tblGrid>
      <w:tr w:rsidR="00A050C6" w:rsidRPr="00A050C6" w:rsidTr="00C056ED">
        <w:trPr>
          <w:trHeight w:val="62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/ модуля (дисциплины)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раздела (</w:t>
            </w:r>
            <w:proofErr w:type="spellStart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ак</w:t>
            </w:r>
            <w:proofErr w:type="gramStart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</w:t>
            </w:r>
            <w:proofErr w:type="spellEnd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ционно</w:t>
            </w:r>
            <w:proofErr w:type="spellEnd"/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в профессию - железнодорожник 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ОАО «РЖД»: от истоков к стратегическим перспективам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и модель управления холдинга «РЖД»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технология работы железнодорожного транспорта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управления человеческими ресурсами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управления человеческими ресурсами (роль 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бизнес-партнера, обеспечение персоналом, мотивация, обучение и развитие, оценка)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50C6" w:rsidRPr="00A050C6" w:rsidTr="00C056ED">
        <w:trPr>
          <w:trHeight w:val="388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-тренды и технологии управления персоналом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388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менеджмент для специалистов кадровых служб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388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HR-</w:t>
            </w: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388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Цифровая экономика и управление персоналом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трудового законодательства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45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персоналом в холдинге «РЖД»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0C6" w:rsidRPr="00A050C6" w:rsidTr="00C056ED">
        <w:trPr>
          <w:trHeight w:val="309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управления персоналом ОАО «РЖД»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Процессный подход в управлении персоналом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компании персоналом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процессами планирования, подбора, адаптации и наставничества в ОАО «РЖД»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в системе единых корпоративных требований к персоналу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 развитие персонала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процессами обучения и развития персонала в ОАО «РЖД»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-3-.8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 и когнитивные навыки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мышление, как основа качественных управленческих решений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личной эффективности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435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саморазвития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050C6" w:rsidRPr="00A050C6" w:rsidTr="00C056ED">
        <w:trPr>
          <w:trHeight w:val="416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Бизнес-коммуникации</w:t>
            </w:r>
            <w:proofErr w:type="gramEnd"/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корпорации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88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с гарантированным успехом: как ее подготовить и провести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288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388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Особенности управления человеческими ресурсами в холдинге «РЖД» (проводится в формате мастер-классов)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45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Управление человеческими ресурсами на железнодорожном транспорте (проводится в формате стажировки)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050C6" w:rsidRPr="00A050C6" w:rsidTr="00C056ED">
        <w:trPr>
          <w:trHeight w:val="45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Выполнение исследовательской работы (подготовка работы, получение консультаций, сдача на рецензирование, подготовка работы к защите)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050C6" w:rsidRPr="00A050C6" w:rsidTr="00C056ED">
        <w:trPr>
          <w:trHeight w:val="24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25"/>
      </w:tblGrid>
      <w:tr w:rsidR="00A050C6" w:rsidRPr="00A050C6" w:rsidTr="00C056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Исполнителя</w:t>
            </w:r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 xml:space="preserve">Директор АНО ДПО </w:t>
            </w:r>
          </w:p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>«Корпоративный университет РЖД»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Ректор СГУПС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50C6" w:rsidRPr="00A050C6" w:rsidTr="00C056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____________ Р.В. </w:t>
            </w:r>
            <w:proofErr w:type="spellStart"/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Баскин</w:t>
            </w:r>
            <w:proofErr w:type="spellEnd"/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А.Л. Манаков  </w:t>
            </w:r>
          </w:p>
        </w:tc>
      </w:tr>
    </w:tbl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Приложение № 2</w:t>
      </w: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_______________________</w:t>
      </w: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____________________________2018 г.</w:t>
      </w: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  <w:proofErr w:type="gramStart"/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программе повышения квалификации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«Управление человеческими ресурсами» </w:t>
      </w: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Лобенко Кристина Олеговна – студентка 4-го курса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Гаврилюк Алена Игоревна – студентка 4-го курса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Гладкова Елизавета Борисовна – магистрант 1-го курса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Захарченко Анастасия Юрьевна – студентка 4-го курса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Карабашова</w:t>
      </w:r>
      <w:proofErr w:type="spellEnd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 – магистрант 1-го курса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Каржавина</w:t>
      </w:r>
      <w:proofErr w:type="spellEnd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Дмитриевна – магистрант 1-го курса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Конкина</w:t>
      </w:r>
      <w:proofErr w:type="spellEnd"/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Эдуардовна – студентка 4-го курса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8. Лысак Карина Михайловна – магистрант 1-го курса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9. Максимова Влада Владимировна – студентка 4-го курса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Соловьева Дарья Сергеевна – магистрант 1-го курса. </w:t>
      </w: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A050C6" w:rsidRPr="00A050C6" w:rsidRDefault="00A050C6" w:rsidP="00A0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925"/>
      </w:tblGrid>
      <w:tr w:rsidR="00A050C6" w:rsidRPr="00A050C6" w:rsidTr="00C056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Исполнителя</w:t>
            </w:r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 xml:space="preserve">Директор АНО ДПО </w:t>
            </w:r>
          </w:p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>«Корпоративный университет РЖД»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Ректор  СГУПС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0C6" w:rsidRPr="00A050C6" w:rsidTr="00C056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____________ Р.В. </w:t>
            </w:r>
            <w:proofErr w:type="spellStart"/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Баскин</w:t>
            </w:r>
            <w:proofErr w:type="spellEnd"/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 А.Л. Манаков  </w:t>
            </w:r>
          </w:p>
        </w:tc>
      </w:tr>
    </w:tbl>
    <w:p w:rsidR="00A050C6" w:rsidRPr="00A050C6" w:rsidRDefault="00A050C6" w:rsidP="00A0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Приложение № 3</w:t>
      </w: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_______________________</w:t>
      </w: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____________________________2018 г.</w:t>
      </w: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Календарный план</w:t>
      </w:r>
    </w:p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tbl>
      <w:tblPr>
        <w:tblW w:w="10773" w:type="dxa"/>
        <w:tblInd w:w="-2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985"/>
        <w:gridCol w:w="1701"/>
        <w:gridCol w:w="1842"/>
      </w:tblGrid>
      <w:tr w:rsidR="00A050C6" w:rsidRPr="00A050C6" w:rsidTr="00C056ED">
        <w:trPr>
          <w:trHeight w:val="9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Наименование и содержание этапов оказания услуг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выполнения, начало-окончание (месяц, год)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Расчетная стоимость этапа без НДС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и вид отчетности</w:t>
            </w:r>
          </w:p>
        </w:tc>
      </w:tr>
      <w:tr w:rsidR="00A050C6" w:rsidRPr="00A050C6" w:rsidTr="00C056ED">
        <w:trPr>
          <w:trHeight w:val="23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Дистанционное обучение по блоку «Введение в профессию - железнодорожник» и аудиторное обучение по блокам «Введение в професси</w:t>
            </w:r>
            <w:proofErr w:type="gramStart"/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</w:t>
            </w:r>
            <w:proofErr w:type="gramEnd"/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железнодорожник», «Основы управления человеческими ресурсами», «Управление персоналом в холдинге «РЖД», «Коммуникативные и когнитивные навыки»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2018 г. – ноябрь 2018 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Отчет; акт сдачи-приемки оказанных услуг с приложением списка Обучающихся, участвовавших в этапе обучения.</w:t>
            </w:r>
          </w:p>
        </w:tc>
      </w:tr>
      <w:tr w:rsidR="00A050C6" w:rsidRPr="00A050C6" w:rsidTr="00C056ED">
        <w:trPr>
          <w:trHeight w:val="103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Дистанционное </w:t>
            </w:r>
            <w:proofErr w:type="gramStart"/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обучение по блокам</w:t>
            </w:r>
            <w:proofErr w:type="gramEnd"/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«Управление персоналом в холдинге «РЖД», «Коммуникативные и когнитивные навыки»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2018 г.- 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2019 г.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242 000,00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Отчет; акт сдачи-приемки оказанных услуг с приложением списка Обучающихся, участвовавших в этапе обучения.</w:t>
            </w:r>
          </w:p>
        </w:tc>
      </w:tr>
      <w:tr w:rsidR="00A050C6" w:rsidRPr="00A050C6" w:rsidTr="00C056ED">
        <w:trPr>
          <w:trHeight w:val="65"/>
        </w:trPr>
        <w:tc>
          <w:tcPr>
            <w:tcW w:w="72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612 000,00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:rsidR="00A050C6" w:rsidRPr="00A050C6" w:rsidRDefault="00A050C6" w:rsidP="00A050C6">
      <w:pPr>
        <w:overflowPunct w:val="0"/>
        <w:autoSpaceDE w:val="0"/>
        <w:autoSpaceDN w:val="0"/>
        <w:adjustRightInd w:val="0"/>
        <w:spacing w:after="0" w:line="240" w:lineRule="auto"/>
        <w:ind w:left="-567"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0C6" w:rsidRPr="00A050C6" w:rsidRDefault="00A050C6" w:rsidP="00A050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0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A050C6" w:rsidRPr="00A050C6" w:rsidRDefault="00A050C6" w:rsidP="00A050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36" w:type="dxa"/>
        <w:tblLayout w:type="fixed"/>
        <w:tblLook w:val="0000" w:firstRow="0" w:lastRow="0" w:firstColumn="0" w:lastColumn="0" w:noHBand="0" w:noVBand="0"/>
      </w:tblPr>
      <w:tblGrid>
        <w:gridCol w:w="5211"/>
        <w:gridCol w:w="4925"/>
      </w:tblGrid>
      <w:tr w:rsidR="00A050C6" w:rsidRPr="00A050C6" w:rsidTr="00C056ED">
        <w:trPr>
          <w:trHeight w:val="1012"/>
        </w:trPr>
        <w:tc>
          <w:tcPr>
            <w:tcW w:w="5211" w:type="dxa"/>
          </w:tcPr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Исполнителя</w:t>
            </w:r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 xml:space="preserve">Директор АНО ДПО </w:t>
            </w:r>
          </w:p>
          <w:p w:rsidR="00A050C6" w:rsidRPr="00A050C6" w:rsidRDefault="00A050C6" w:rsidP="00A050C6">
            <w:pPr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4"/>
                <w:szCs w:val="24"/>
                <w:lang w:eastAsia="ru-RU"/>
              </w:rPr>
              <w:t>«Корпоративный университет РЖД»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5" w:type="dxa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Заказчика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Ректор  СГУПС</w:t>
            </w: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50C6" w:rsidRPr="00A050C6" w:rsidTr="00C056ED">
        <w:tc>
          <w:tcPr>
            <w:tcW w:w="5211" w:type="dxa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 xml:space="preserve">____________ Р.В. </w:t>
            </w:r>
            <w:proofErr w:type="spellStart"/>
            <w:r w:rsidRPr="00A050C6">
              <w:rPr>
                <w:rFonts w:ascii="Times New Roman" w:eastAsia="Times New Roman" w:hAnsi="Times New Roman" w:cs="Times New Roman"/>
                <w:bCs/>
                <w:iCs/>
                <w:snapToGrid w:val="0"/>
                <w:sz w:val="24"/>
                <w:szCs w:val="24"/>
                <w:lang w:eastAsia="ru-RU"/>
              </w:rPr>
              <w:t>Баскин</w:t>
            </w:r>
            <w:proofErr w:type="spellEnd"/>
          </w:p>
        </w:tc>
        <w:tc>
          <w:tcPr>
            <w:tcW w:w="4925" w:type="dxa"/>
          </w:tcPr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050C6" w:rsidRPr="00A050C6" w:rsidRDefault="00A050C6" w:rsidP="00A050C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 А.Л. Манаков  </w:t>
            </w:r>
          </w:p>
        </w:tc>
      </w:tr>
    </w:tbl>
    <w:p w:rsidR="00A050C6" w:rsidRPr="00D62CA6" w:rsidRDefault="00A050C6" w:rsidP="00A050C6">
      <w:pPr>
        <w:spacing w:after="0" w:line="240" w:lineRule="auto"/>
        <w:rPr>
          <w:rFonts w:ascii="Arial" w:eastAsiaTheme="minorEastAsia" w:hAnsi="Arial" w:cs="Arial"/>
          <w:b/>
          <w:sz w:val="18"/>
          <w:szCs w:val="20"/>
          <w:lang w:eastAsia="ru-RU"/>
        </w:rPr>
      </w:pPr>
    </w:p>
    <w:sectPr w:rsidR="00A050C6" w:rsidRPr="00D62CA6" w:rsidSect="00D62CA6">
      <w:pgSz w:w="11906" w:h="16838"/>
      <w:pgMar w:top="851" w:right="851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008" w:rsidRDefault="00993008" w:rsidP="00A050C6">
      <w:pPr>
        <w:spacing w:after="0" w:line="240" w:lineRule="auto"/>
      </w:pPr>
      <w:r>
        <w:separator/>
      </w:r>
    </w:p>
  </w:endnote>
  <w:endnote w:type="continuationSeparator" w:id="0">
    <w:p w:rsidR="00993008" w:rsidRDefault="00993008" w:rsidP="00A05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008" w:rsidRDefault="00993008" w:rsidP="00A050C6">
      <w:pPr>
        <w:spacing w:after="0" w:line="240" w:lineRule="auto"/>
      </w:pPr>
      <w:r>
        <w:separator/>
      </w:r>
    </w:p>
  </w:footnote>
  <w:footnote w:type="continuationSeparator" w:id="0">
    <w:p w:rsidR="00993008" w:rsidRDefault="00993008" w:rsidP="00A050C6">
      <w:pPr>
        <w:spacing w:after="0" w:line="240" w:lineRule="auto"/>
      </w:pPr>
      <w:r>
        <w:continuationSeparator/>
      </w:r>
    </w:p>
  </w:footnote>
  <w:footnote w:id="1">
    <w:p w:rsidR="00A050C6" w:rsidRDefault="00A050C6" w:rsidP="00A050C6">
      <w:pPr>
        <w:pStyle w:val="ae"/>
      </w:pPr>
      <w:r>
        <w:rPr>
          <w:rStyle w:val="af0"/>
        </w:rPr>
        <w:footnoteRef/>
      </w:r>
      <w:r>
        <w:t xml:space="preserve"> Заливкой обозначены модули, реализацию которых осуществляет АНО ДПО «Корпоративный университет РЖД»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0207CE"/>
    <w:multiLevelType w:val="multilevel"/>
    <w:tmpl w:val="57EEAE0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795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9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920" w:hanging="1440"/>
      </w:pPr>
      <w:rPr>
        <w:rFonts w:hint="default"/>
        <w:sz w:val="22"/>
      </w:rPr>
    </w:lvl>
  </w:abstractNum>
  <w:abstractNum w:abstractNumId="2">
    <w:nsid w:val="106950C8"/>
    <w:multiLevelType w:val="multilevel"/>
    <w:tmpl w:val="B400E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7" w:hanging="10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94" w:hanging="10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01" w:hanging="10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3">
    <w:nsid w:val="10FB1F9D"/>
    <w:multiLevelType w:val="multilevel"/>
    <w:tmpl w:val="A02E7CE0"/>
    <w:lvl w:ilvl="0">
      <w:start w:val="2"/>
      <w:numFmt w:val="decimal"/>
      <w:lvlText w:val="%1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008" w:hanging="14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383D3FFE"/>
    <w:multiLevelType w:val="multilevel"/>
    <w:tmpl w:val="8BFCB9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1345E7"/>
    <w:multiLevelType w:val="multilevel"/>
    <w:tmpl w:val="E27E9C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68937A9"/>
    <w:multiLevelType w:val="hybridMultilevel"/>
    <w:tmpl w:val="D9146F56"/>
    <w:lvl w:ilvl="0" w:tplc="8E6C3B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52962"/>
    <w:rsid w:val="000572A5"/>
    <w:rsid w:val="00071174"/>
    <w:rsid w:val="000B6DA3"/>
    <w:rsid w:val="000E7C99"/>
    <w:rsid w:val="00175863"/>
    <w:rsid w:val="00191C40"/>
    <w:rsid w:val="00194763"/>
    <w:rsid w:val="001B2B34"/>
    <w:rsid w:val="001B6111"/>
    <w:rsid w:val="002005F7"/>
    <w:rsid w:val="00281EEF"/>
    <w:rsid w:val="002A19AC"/>
    <w:rsid w:val="002C5FEA"/>
    <w:rsid w:val="002F16D0"/>
    <w:rsid w:val="0034651C"/>
    <w:rsid w:val="00353556"/>
    <w:rsid w:val="00393ACA"/>
    <w:rsid w:val="003E49C6"/>
    <w:rsid w:val="003F3957"/>
    <w:rsid w:val="0046412E"/>
    <w:rsid w:val="00493160"/>
    <w:rsid w:val="004A0178"/>
    <w:rsid w:val="004B58BC"/>
    <w:rsid w:val="004C48DD"/>
    <w:rsid w:val="004D71E0"/>
    <w:rsid w:val="00512CCA"/>
    <w:rsid w:val="005D67C4"/>
    <w:rsid w:val="005F34BF"/>
    <w:rsid w:val="005F42D3"/>
    <w:rsid w:val="00627169"/>
    <w:rsid w:val="00665C43"/>
    <w:rsid w:val="00690434"/>
    <w:rsid w:val="00695A5E"/>
    <w:rsid w:val="006B200A"/>
    <w:rsid w:val="00723FEF"/>
    <w:rsid w:val="00782DD1"/>
    <w:rsid w:val="0079111A"/>
    <w:rsid w:val="007B7548"/>
    <w:rsid w:val="007D3F39"/>
    <w:rsid w:val="008B7E2A"/>
    <w:rsid w:val="008D1E36"/>
    <w:rsid w:val="00905F7A"/>
    <w:rsid w:val="00936804"/>
    <w:rsid w:val="00980858"/>
    <w:rsid w:val="00987098"/>
    <w:rsid w:val="00993008"/>
    <w:rsid w:val="009C5523"/>
    <w:rsid w:val="009F169B"/>
    <w:rsid w:val="00A04C70"/>
    <w:rsid w:val="00A050C6"/>
    <w:rsid w:val="00A2205A"/>
    <w:rsid w:val="00A224FE"/>
    <w:rsid w:val="00A740EF"/>
    <w:rsid w:val="00B73FAE"/>
    <w:rsid w:val="00BB5020"/>
    <w:rsid w:val="00BD4D52"/>
    <w:rsid w:val="00C06DA2"/>
    <w:rsid w:val="00C62D68"/>
    <w:rsid w:val="00C83847"/>
    <w:rsid w:val="00CB7687"/>
    <w:rsid w:val="00CE7977"/>
    <w:rsid w:val="00CF02A3"/>
    <w:rsid w:val="00D03E05"/>
    <w:rsid w:val="00D0717B"/>
    <w:rsid w:val="00D517CA"/>
    <w:rsid w:val="00D62CA6"/>
    <w:rsid w:val="00D92553"/>
    <w:rsid w:val="00D97AB2"/>
    <w:rsid w:val="00DB325B"/>
    <w:rsid w:val="00DE7C84"/>
    <w:rsid w:val="00DE7D4F"/>
    <w:rsid w:val="00E1455C"/>
    <w:rsid w:val="00E51EE9"/>
    <w:rsid w:val="00E77CA1"/>
    <w:rsid w:val="00E86D37"/>
    <w:rsid w:val="00E95F28"/>
    <w:rsid w:val="00EC0DA9"/>
    <w:rsid w:val="00F61E9A"/>
    <w:rsid w:val="00F73DDD"/>
    <w:rsid w:val="00F81581"/>
    <w:rsid w:val="00FB6F04"/>
    <w:rsid w:val="00FD7E00"/>
    <w:rsid w:val="00FE2EA1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ConsNormal">
    <w:name w:val="ConsNormal"/>
    <w:uiPriority w:val="99"/>
    <w:rsid w:val="008D1E36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b">
    <w:name w:val="No Spacing"/>
    <w:uiPriority w:val="1"/>
    <w:qFormat/>
    <w:rsid w:val="008D1E3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uiPriority w:val="39"/>
    <w:rsid w:val="00D6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9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C06DA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C06D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C06DA2"/>
    <w:pPr>
      <w:widowControl w:val="0"/>
      <w:snapToGrid w:val="0"/>
      <w:spacing w:after="0" w:line="300" w:lineRule="auto"/>
      <w:ind w:left="40"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050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050C6"/>
  </w:style>
  <w:style w:type="paragraph" w:styleId="ae">
    <w:name w:val="footnote text"/>
    <w:basedOn w:val="a"/>
    <w:link w:val="af"/>
    <w:uiPriority w:val="99"/>
    <w:semiHidden/>
    <w:unhideWhenUsed/>
    <w:rsid w:val="00A05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05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050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957"/>
  </w:style>
  <w:style w:type="paragraph" w:styleId="1">
    <w:name w:val="heading 1"/>
    <w:basedOn w:val="a"/>
    <w:next w:val="a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83847"/>
  </w:style>
  <w:style w:type="character" w:customStyle="1" w:styleId="10">
    <w:name w:val="Заголовок 1 Знак"/>
    <w:basedOn w:val="a0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4D71E0"/>
  </w:style>
  <w:style w:type="character" w:styleId="aa">
    <w:name w:val="FollowedHyperlink"/>
    <w:basedOn w:val="a0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1"/>
    <w:next w:val="a3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semiHidden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2205A"/>
  </w:style>
  <w:style w:type="paragraph" w:customStyle="1" w:styleId="ConsNormal">
    <w:name w:val="ConsNormal"/>
    <w:uiPriority w:val="99"/>
    <w:rsid w:val="008D1E36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styleId="ab">
    <w:name w:val="No Spacing"/>
    <w:uiPriority w:val="1"/>
    <w:qFormat/>
    <w:rsid w:val="008D1E3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table" w:customStyle="1" w:styleId="25">
    <w:name w:val="Сетка таблицы2"/>
    <w:basedOn w:val="a1"/>
    <w:next w:val="a3"/>
    <w:uiPriority w:val="39"/>
    <w:rsid w:val="00D6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690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C06DA2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C06DA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C06DA2"/>
    <w:pPr>
      <w:widowControl w:val="0"/>
      <w:snapToGrid w:val="0"/>
      <w:spacing w:after="0" w:line="300" w:lineRule="auto"/>
      <w:ind w:left="40" w:firstLine="7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050C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050C6"/>
  </w:style>
  <w:style w:type="paragraph" w:styleId="ae">
    <w:name w:val="footnote text"/>
    <w:basedOn w:val="a"/>
    <w:link w:val="af"/>
    <w:uiPriority w:val="99"/>
    <w:semiHidden/>
    <w:unhideWhenUsed/>
    <w:rsid w:val="00A050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A05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A050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4030</Words>
  <Characters>22971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2017-10-31T05:53:00Z</cp:lastPrinted>
  <dcterms:created xsi:type="dcterms:W3CDTF">2018-08-31T05:08:00Z</dcterms:created>
  <dcterms:modified xsi:type="dcterms:W3CDTF">2018-09-03T04:45:00Z</dcterms:modified>
</cp:coreProperties>
</file>