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A2D2E" w:rsidRPr="009A2D2E" w:rsidRDefault="009A2D2E" w:rsidP="009A2D2E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4-344/Д-19</w:t>
      </w:r>
      <w:bookmarkStart w:id="0" w:name="_GoBack"/>
      <w:bookmarkEnd w:id="0"/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EE56EB">
        <w:rPr>
          <w:rFonts w:ascii="Times New Roman" w:hAnsi="Times New Roman"/>
          <w:sz w:val="20"/>
          <w:szCs w:val="20"/>
        </w:rPr>
        <w:t>_ 201</w:t>
      </w:r>
      <w:r w:rsidR="00EE56EB" w:rsidRPr="00D36526">
        <w:rPr>
          <w:rFonts w:ascii="Times New Roman" w:hAnsi="Times New Roman"/>
          <w:sz w:val="20"/>
          <w:szCs w:val="20"/>
        </w:rPr>
        <w:t>9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  <w:r w:rsidR="00165D08" w:rsidRPr="00165D08">
        <w:rPr>
          <w:rFonts w:ascii="Times New Roman" w:hAnsi="Times New Roman"/>
          <w:b/>
          <w:sz w:val="20"/>
          <w:szCs w:val="20"/>
        </w:rPr>
        <w:t>191540211315554020100100970710000000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165D08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165D08">
        <w:rPr>
          <w:rFonts w:ascii="Times New Roman" w:hAnsi="Times New Roman"/>
          <w:sz w:val="20"/>
          <w:szCs w:val="20"/>
        </w:rPr>
        <w:t>52 от 05.10.2018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033C13" w:rsidRPr="00033C13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«АВАНГАРД», </w:t>
      </w:r>
      <w:r w:rsidR="00033C13" w:rsidRPr="00033C13">
        <w:rPr>
          <w:rFonts w:ascii="Times New Roman" w:hAnsi="Times New Roman"/>
          <w:sz w:val="20"/>
          <w:szCs w:val="20"/>
        </w:rPr>
        <w:t xml:space="preserve">именуемое в дальнейшем Поставщик, в лице  директора </w:t>
      </w:r>
      <w:proofErr w:type="spellStart"/>
      <w:r w:rsidR="00033C13" w:rsidRPr="00033C13">
        <w:rPr>
          <w:rFonts w:ascii="Times New Roman" w:hAnsi="Times New Roman"/>
          <w:sz w:val="20"/>
          <w:szCs w:val="20"/>
        </w:rPr>
        <w:t>Мошкарева</w:t>
      </w:r>
      <w:proofErr w:type="spellEnd"/>
      <w:r w:rsidR="00033C13" w:rsidRPr="00033C13">
        <w:rPr>
          <w:rFonts w:ascii="Times New Roman" w:hAnsi="Times New Roman"/>
          <w:sz w:val="20"/>
          <w:szCs w:val="20"/>
        </w:rPr>
        <w:t xml:space="preserve"> Александра Александровича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</w:t>
      </w:r>
      <w:r w:rsidR="00165D08">
        <w:rPr>
          <w:rFonts w:ascii="Times New Roman" w:hAnsi="Times New Roman"/>
          <w:sz w:val="20"/>
          <w:szCs w:val="20"/>
        </w:rPr>
        <w:t xml:space="preserve"> </w:t>
      </w:r>
      <w:r w:rsidR="00ED6F13" w:rsidRPr="005E6C39">
        <w:rPr>
          <w:rFonts w:ascii="Times New Roman" w:hAnsi="Times New Roman"/>
          <w:sz w:val="20"/>
          <w:szCs w:val="20"/>
        </w:rPr>
        <w:t xml:space="preserve">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165D08">
        <w:rPr>
          <w:rFonts w:ascii="Times New Roman" w:hAnsi="Times New Roman"/>
          <w:sz w:val="20"/>
          <w:szCs w:val="20"/>
        </w:rPr>
        <w:t>42</w:t>
      </w:r>
      <w:r w:rsidR="00033C13">
        <w:rPr>
          <w:rFonts w:ascii="Times New Roman" w:hAnsi="Times New Roman"/>
          <w:sz w:val="20"/>
          <w:szCs w:val="20"/>
        </w:rPr>
        <w:t>/0351100001719000070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744685">
        <w:rPr>
          <w:rFonts w:ascii="Times New Roman" w:hAnsi="Times New Roman"/>
          <w:sz w:val="20"/>
          <w:szCs w:val="20"/>
        </w:rPr>
        <w:t>, 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033C13">
        <w:rPr>
          <w:rFonts w:ascii="Times New Roman" w:hAnsi="Times New Roman"/>
          <w:sz w:val="20"/>
          <w:szCs w:val="20"/>
        </w:rPr>
        <w:t>подведения итогов электронного аукциона от 15.11.2019г</w:t>
      </w:r>
      <w:r w:rsidR="006B69E4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165D08">
        <w:rPr>
          <w:rFonts w:ascii="Times New Roman" w:hAnsi="Times New Roman"/>
          <w:sz w:val="20"/>
          <w:szCs w:val="20"/>
        </w:rPr>
        <w:t>строительных</w:t>
      </w:r>
      <w:r w:rsidR="00603AED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165D08">
        <w:rPr>
          <w:rFonts w:ascii="Times New Roman" w:hAnsi="Times New Roman"/>
          <w:sz w:val="20"/>
          <w:szCs w:val="20"/>
        </w:rPr>
        <w:t xml:space="preserve"> строительные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165D08">
        <w:rPr>
          <w:rFonts w:ascii="Times New Roman" w:hAnsi="Times New Roman"/>
          <w:sz w:val="20"/>
          <w:szCs w:val="20"/>
        </w:rPr>
        <w:t>ых строительных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033C13">
        <w:rPr>
          <w:rFonts w:ascii="Times New Roman" w:hAnsi="Times New Roman" w:cs="Times New Roman"/>
          <w:sz w:val="20"/>
          <w:szCs w:val="20"/>
        </w:rPr>
        <w:t xml:space="preserve">1 173 170,92 рублей (один миллион сто семьдесят три тысячи сто семьдесят рублей 92 копейки), с учетом </w:t>
      </w:r>
      <w:r w:rsidR="00C962FA">
        <w:rPr>
          <w:rFonts w:ascii="Times New Roman" w:hAnsi="Times New Roman" w:cs="Times New Roman"/>
          <w:sz w:val="20"/>
          <w:szCs w:val="20"/>
        </w:rPr>
        <w:t>НДС</w:t>
      </w:r>
      <w:r w:rsidR="00033C13">
        <w:rPr>
          <w:rFonts w:ascii="Times New Roman" w:hAnsi="Times New Roman" w:cs="Times New Roman"/>
          <w:sz w:val="20"/>
          <w:szCs w:val="20"/>
        </w:rPr>
        <w:t xml:space="preserve"> – 20%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 в случаях, предусмотренных действующими нормативно-</w:t>
      </w:r>
      <w:r w:rsidR="00251403" w:rsidRPr="005E6C39">
        <w:rPr>
          <w:rFonts w:ascii="Times New Roman" w:hAnsi="Times New Roman"/>
          <w:sz w:val="20"/>
          <w:szCs w:val="20"/>
        </w:rPr>
        <w:lastRenderedPageBreak/>
        <w:t xml:space="preserve">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D4F68" w:rsidRDefault="000C0EC4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D36526" w:rsidRPr="00D36526" w:rsidRDefault="00D36526" w:rsidP="00D3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6526">
        <w:rPr>
          <w:rFonts w:ascii="Times New Roman" w:hAnsi="Times New Roman"/>
          <w:sz w:val="20"/>
          <w:szCs w:val="20"/>
        </w:rPr>
        <w:t xml:space="preserve">      5.2. Требования к гарантийным обязательствам и их обеспечению не установлены. </w:t>
      </w:r>
    </w:p>
    <w:p w:rsidR="00D36526" w:rsidRPr="005E6C39" w:rsidRDefault="00D3652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B61816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, но не более 5000 рублей и не менее 1000 рублей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ется  в</w:t>
      </w:r>
      <w:r w:rsidR="00B6181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размере-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1000 рублей.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36526" w:rsidRPr="00D36526" w:rsidRDefault="00D3652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</w:t>
      </w:r>
      <w:r w:rsidR="00D45F42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размере 10% от цены договора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</w:t>
      </w:r>
      <w:r w:rsidR="00D36526"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а также в порядке и на условиях, предусмотренных ч.8.1 ст.96 Федерального закона №44-ФЗ. 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 быть обеспечено, по усмотрению Поставщика, или предоставлением </w:t>
      </w: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банковской гарантии, выданной банком, или внесением денежных средств на счет заказчика.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7.3.При обеспечении исполнения договора банковской гарантией Поставщик,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операций, обязан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</w:t>
      </w:r>
      <w:proofErr w:type="gramEnd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путем перечисления на банковский счет, указанный в заявлении.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lastRenderedPageBreak/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640C2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033C13" w:rsidRDefault="00033C13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033C13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>Проректор</w:t>
            </w:r>
          </w:p>
          <w:p w:rsidR="00033C13" w:rsidRDefault="00033C13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165D0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165D08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="00165D08">
              <w:rPr>
                <w:rFonts w:ascii="Times New Roman" w:hAnsi="Times New Roman"/>
                <w:sz w:val="20"/>
                <w:szCs w:val="20"/>
              </w:rPr>
              <w:t>.Новоселов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ООО «АВАНГАРД»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 xml:space="preserve">630096 г. Новосибирск, </w:t>
            </w:r>
            <w:proofErr w:type="spellStart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танционная</w:t>
            </w:r>
            <w:proofErr w:type="spellEnd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, 60/1 корпус 2/4 офис 34    тел.(383) 363-32-04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avangardnsk@inbox.ru  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03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5404047250     </w:t>
            </w: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03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540401001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ОГРН  1165476190230 дата н/учет 10.11.2016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ОКПО  05512791        ОКТМО  50701000001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/счет  40702810844050029063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Сибирский Банк ПАО Сбербанк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/счет 30101810500000000641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БИК  045004641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C13" w:rsidRPr="00033C13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</w:t>
            </w:r>
            <w:proofErr w:type="spellStart"/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А.А.Мошкарев</w:t>
            </w:r>
            <w:proofErr w:type="spellEnd"/>
          </w:p>
          <w:p w:rsidR="00946684" w:rsidRDefault="00033C13" w:rsidP="00033C13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13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46684" w:rsidRP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DF3863" w:rsidRDefault="00DF3863" w:rsidP="00DF3863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СПЕЦИФИКАЦИЯ</w:t>
      </w:r>
    </w:p>
    <w:p w:rsidR="007C0A06" w:rsidRPr="007C0A06" w:rsidRDefault="007C0A06" w:rsidP="007C0A06">
      <w:pPr>
        <w:suppressAutoHyphens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7C0A06">
        <w:rPr>
          <w:rFonts w:ascii="Times New Roman" w:hAnsi="Times New Roman"/>
          <w:bCs/>
          <w:i/>
          <w:sz w:val="20"/>
          <w:szCs w:val="20"/>
          <w:lang w:val="x-none"/>
        </w:rPr>
        <w:t xml:space="preserve">                                                                                       </w:t>
      </w: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832"/>
        <w:gridCol w:w="709"/>
        <w:gridCol w:w="992"/>
        <w:gridCol w:w="1133"/>
        <w:gridCol w:w="1276"/>
      </w:tblGrid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Товары (работы, услуги)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33" w:type="dxa"/>
            <w:vAlign w:val="center"/>
          </w:tcPr>
          <w:p w:rsid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Цена</w:t>
            </w:r>
            <w:r w:rsidR="00DF3863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  <w:p w:rsidR="00DF3863" w:rsidRPr="007C0A06" w:rsidRDefault="00DF3863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 НДС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="00DF3863">
              <w:rPr>
                <w:rFonts w:ascii="Times New Roman" w:hAnsi="Times New Roman"/>
                <w:bCs/>
                <w:sz w:val="20"/>
                <w:szCs w:val="20"/>
              </w:rPr>
              <w:t xml:space="preserve"> руб. с НДС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Кисть радиаторная ширина 50мм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1104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Профессиональная однокомпонентная полиуретановая пена. Номинальный объем баллона: 800 мл.*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Рабочая температура поверхности – диапазон от +5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до +30°С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 xml:space="preserve"> Диапазон термостойкости  и влагостойкости– от -40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до +90°С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Класс огнестойкости B3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Устойчива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к плесени и влаге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 xml:space="preserve">Затвердевает в диапазоне от -18С  до +35С.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435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20880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Фанера, ширина 1525мм, длина 1525мм, толщина 10мм. Сорт 1/2.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1770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219480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Линолеум гетерогенный  коммерческий ширина 3.0м, толщина 2,0мм, толщина защитного слоя 0,7мм. Цвет красно-коричневый, оттенок по согласованию.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Вес 1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м.: 2,9 кг. Изменение линейных размеров: 0.4%. Абсолютная остаточная деформация: 0.1мм. Дополнительное защитное покрытие: PUR.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Показатели пожарной безопасности: Г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, В2, РП1, Д2, Т2.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215625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Универсальный клей 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суперсильный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прозрачный, для пистолета, в тубах по 280мл*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Основа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Сополимерная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дисперсия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полиакрилатов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/ не содержит растворителей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Цвет Белый, после высыхания прозрачный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Консистенция Пастообразная, гладкая поверхность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Устойчив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к воздействию влаги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Для внутреннего и наружного применения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Температура  нанесения +10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Температура эксплуатации диапазон от –20 до +80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Рабочее (открытое) время. 15  минут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Заполняет щели до 10 мм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Время отвердевания: 48 часов, увеличивается при увеличении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толщины наносимого клея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Расход диапазон 200-400г/м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для декоративных и изоляционных панелей; диапазон 20-40 г/м для профилей, панелей из дерева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окрашивание 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Не горюч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6768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Венчик 120x600 мм для миксера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Hammerflex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221-007 MX-AC  , для смешивания краски и сухих смесей, тип патрона М14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1842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Лента шлифовальная бесконечная размер 75х457 мм (Р40)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960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Лента шлифовальная бесконечная   размер 75х457 мм (Р80)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960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Скотч малярный, ширина 38 мм, длина 50 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3792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Круг отрезной по металлу 125х2х22 мм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930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Круг отрезной по металлу 230х2,5х22 мм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Клей для линолеума "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Homakoll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208", ведро (1,3 кг.)*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Основа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водная полимерная дисперсия со смолами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Цвет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бежевый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диапазон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6-9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Растворитель/разбавитель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вода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Расход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диапазон 340 – 460 г/м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>, в зависимости от основы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Открытое время диапазон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10 - 15 мин, зависит от температуры и влажности в помещении, а также от пористости основания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Морозостойкость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 xml:space="preserve">5 циклов замораживания и оттаивания,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2472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Пистолет для монтажной пены профессиональный.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 Для работы с монтажной пеной в баллонах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 Цельнометаллический корпус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 Латунный игольчатый клапан с тефлоновым покрытием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• Латунный держатель баллонов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793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3172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Профиль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перфорированный угловой, оцинкованный, 20х20 мм, длина 3 м.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2150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Профиль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маячковый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 22х10 мм (для штукатурки), длина 3 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Грунтовка глубокого проникновения, белый цвет, морозостойкая, фасовка по 10 кг*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896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13440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Клей для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в мешках по 25кг. *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Клей,  представляет собой смесь, цемента, кварцевого песка определенного фракционного состава и специальных добавок Размер частиц наполнителя 0.63 мм. Толщина клеевого шва  20мм. Жизнеспособность раствора 180 минут. </w:t>
            </w: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Средний расход смеси при толщине слоя 1 мм, кг/м²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.- 1,53..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 xml:space="preserve">Марка по прочности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М 150.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19,9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59700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Акрилатная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краска фасадная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Tikkurila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. Цвет темно-серый, оттенок по согласованию, фасовка в ведрах 9л.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Совершенно 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матовая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, на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чистомакрилатном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связующем, обладает стойкостью к очистке и придает окрашенной поверхности бархатистый эффект. Базис: С. Степень блеска: совершенно матовая. Стойкость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диапазон 2-4 Расход, г/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 диапазон 160-250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760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34200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Акрилатная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краска фасадная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Tikkurila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. Цвет светло-серый, оттенок по согласованию, фасовка в ведрах 9л.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Совершенно 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матовая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, на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чистомакрилатном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связующем, обладает стойкостью к очистке и придает окрашенной поверхности бархатистый эффект. Базис: С. Степень блеска: совершенно матовая. Стойкость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диапазон 2-4 Расход, г/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 диапазон 160-250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948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42660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Акрилатная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краска фасадная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Tikkurila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. Цвет кирпичный, оттенок по согласованию, фасовка в ведрах 9л.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Совершенно 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матовая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, на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чистомакрилатном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связующем, обладает стойкостью к очистке и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придавает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окрашенной поверхности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бархатистый эффект. Базис: С. Степень блеска: совершенно матовая. Стойкость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диапазон 2-4 Расход, г/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 диапазон 160-250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1011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45495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Краска латексная матовая «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PufasMatt-Latex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МЛ» (ведро 10 л)* </w:t>
            </w:r>
            <w:r w:rsidRPr="007C0A06">
              <w:rPr>
                <w:rFonts w:ascii="Times New Roman" w:hAnsi="Times New Roman"/>
                <w:b/>
                <w:bCs/>
                <w:sz w:val="20"/>
                <w:szCs w:val="20"/>
              </w:rPr>
              <w:t>Область применения: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Внутренние работы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Сухие помещения и помещения с умеренной влажностью: кухни, коридоры, жилые комнаты, офисные помещения.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/>
                <w:bCs/>
                <w:sz w:val="20"/>
                <w:szCs w:val="20"/>
              </w:rPr>
              <w:t>Свойства продукта: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цвет белый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- Шелковисто-матовая.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Износостойкая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, соответствует 2 классу стойкости по DIN EN 13300.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- Моющаяся,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/>
                <w:bCs/>
                <w:sz w:val="20"/>
                <w:szCs w:val="20"/>
              </w:rPr>
              <w:t>Время высыхания межслойное/полное: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60 мин./24 часа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ремя высыхания до степени «3» составляет 60 минут. </w:t>
            </w:r>
            <w:r w:rsidRPr="007C0A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Расход: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1 литр на диапазон 6-8 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127855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Набор оснастки для МФИ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Makita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(В-30623), для монтажных работ, 4 предмета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иметаллический сегментированный пильный диск 85 мм (дерево-металл), биметаллическое погружное пильное полотно 28х50 мм (дерево-металл), биметаллическое погружное пильное полотно 20х20 мм (металл), биметаллическое погружное пильное полотно 32х40 мм (твердое дерево)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5283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5283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Алкидная шпатлевка-наполнитель. в металлических банках объемом 0,33 л*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для наполнения и заделки деревянных, древесностружечных, древесноволокнистых и металлических поверхностей внутри зданий. Применяется также для обработки наружных поверхностей, не подвергающихся воздействию влаги. Применяется при окраске латексными, алкидными, масляными и каталитическими красками.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Поддавается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сухой и мокрой шлифовке и циклевке.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Объекты применения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Применяеться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для шпатлевания мебели, неровностей на поверхности стен, дверей, оконных рам, а также машин и оборудования, транспортных средств и т.д.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Выдерживает транспортировку и хранение при низких температурах.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Плотность 1,8 кг/л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Сухой остаток 74%.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Время высыхания 30мин.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1133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45320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Эмаль акриловая для радиаторов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белая,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полуглянцевая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, без запаха  (емкость 0,9 л)*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9200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Подвес прямой П60x27, толщина 0,9 мм, из оцинкованной стали,  для монтажа потолочных профилей к несущим конструкциям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4000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Древесно-стружечные плиты, толщина 16мм, ширина 1220 мм, длина 2440 мм.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860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21500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Ручка оконная для ПВХ, с замком, размер 125 мм, цвет белый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491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2455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Ручка оконная для ПВХ, размер 125 мм, цвет белый, с крепежом в комплекте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2910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Дверной доводчик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Дверной доводчик – сразу 5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регулировок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>ниверсальный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: Подходит для любых дверей массой диапазон 30-85 кг и размером до 900*2100 мм.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Доводчик морозостойкий.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Функции: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Регулировка скорости закрывания двери до угла 15° 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Регулировка скорости доводки двери в секторе диапазон от 15° до 0° 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Регулировка упругости пружины под двери разного веса диапазон (30-45 кг, 45-60 кг, 60-85 кг).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Ветровой тормоз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В несколько раз замедляет закрывание двери на участке диапазон от 180° до 70°, позволяет внести груз, ввезти тележку и коляску, пройти группе людей и т. д.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Максимальное время задержки – 35 секунд.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 комплекте: </w:t>
            </w:r>
          </w:p>
          <w:p w:rsidR="007C0A06" w:rsidRPr="007C0A06" w:rsidRDefault="007C0A06" w:rsidP="007C0A0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доводчик, </w:t>
            </w:r>
          </w:p>
          <w:p w:rsidR="007C0A06" w:rsidRPr="007C0A06" w:rsidRDefault="007C0A06" w:rsidP="007C0A0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крепеж, </w:t>
            </w:r>
          </w:p>
          <w:p w:rsidR="007C0A06" w:rsidRPr="007C0A06" w:rsidRDefault="007C0A06" w:rsidP="007C0A0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кронштейн параллельного рычага, 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инструкция с монтажным шаблоном.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7580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Дверной доводчик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Дверной доводчик – сразу 5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регулировок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>ниверсальный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: Подходит для любых дверей массой диапазон 80-120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размером до 1000*2400 мм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Доводчик морозостойкий.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Функции: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Регулировка скорости закрывания двери до угла 15° 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Регулировка скорости доводки двери в секторе диапазон от 15° до 0° 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Регулировка упругости пружины под двери разного веса).</w:t>
            </w:r>
            <w:proofErr w:type="gramEnd"/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Ветровой тормоз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В несколько раз замедляет закрывание двери на участке диапазон от 180° до 70°, позволяет внести груз, ввезти тележку и коляску, пройти группе людей и т. д.</w:t>
            </w:r>
          </w:p>
          <w:p w:rsidR="007C0A06" w:rsidRPr="007C0A06" w:rsidRDefault="007C0A06" w:rsidP="007C0A0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Максимальное время задержки – 35 секунд.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 комплекте: </w:t>
            </w:r>
          </w:p>
          <w:p w:rsidR="007C0A06" w:rsidRPr="007C0A06" w:rsidRDefault="007C0A06" w:rsidP="007C0A0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доводчик, </w:t>
            </w:r>
          </w:p>
          <w:p w:rsidR="007C0A06" w:rsidRPr="007C0A06" w:rsidRDefault="007C0A06" w:rsidP="007C0A0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крепеж, </w:t>
            </w:r>
          </w:p>
          <w:p w:rsidR="007C0A06" w:rsidRPr="007C0A06" w:rsidRDefault="007C0A06" w:rsidP="007C0A06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кронштейн параллельного рычага, 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инструкция с монтажным шаблоном.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2651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10604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Соединитель для плинтуса «Идеал», цвет бук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7200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Внутренний угол для плинтуса «Идеал», цвет бук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7200</w:t>
            </w:r>
          </w:p>
        </w:tc>
      </w:tr>
      <w:tr w:rsidR="007C0A06" w:rsidRPr="007C0A06" w:rsidTr="007C0A06">
        <w:trPr>
          <w:trHeight w:val="335"/>
        </w:trPr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Угол наружный для плинтуса «Идеал» с держателем угла в комплекте, цвет бук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7200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Заглушка правая для плинтуса «Идеал», цвет бук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3600</w:t>
            </w:r>
          </w:p>
        </w:tc>
      </w:tr>
      <w:tr w:rsidR="007C0A06" w:rsidRPr="007C0A06" w:rsidTr="007C0A06">
        <w:trPr>
          <w:trHeight w:val="617"/>
        </w:trPr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Заглушка левая для плинтуса «Идеал», цвет бук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3600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Шпатлевка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масляно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-клеевая для внутренних работ, повышенной прочности, готовая, в пластиковых ведрах по 16 кг*.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Время высыхания при t+20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и влажности 65%: 4 часа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Расход: при толщине 1 мм – 1,5 кг на 1 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526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15780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Решетка вентиляционная 300x200 мм, разъемная, пластик, белая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4500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Решетка вентиляционная 150x150 мм, разъемная, пластик, белая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1060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Диск пильный твердосплавный для циркулярной пилы,</w:t>
            </w:r>
            <w:r w:rsidRPr="007C0A0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-210мм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посадочный </w:t>
            </w:r>
            <w:r w:rsidRPr="007C0A0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-30 мм, толщина 3,8мм, количество зубьев-24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2377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4754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Плита потолочная размер 595х595 (для замены в установленных потолках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мм, толщина 8 мм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22320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Кирпич керамический полнотелый рядовой одинарный М-150 в поддоне 396 штук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поддон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6916,92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6916,92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Сетка абразивная размер 110х280мм (в упаковке 10 шт.)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2120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Эмаль НЦ-132, черная, глянцевая (емкость 1,7кг)*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690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13800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Штукатурка цементная для фасадов в мешках по 25кг.*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Цвет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Серый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Вяжущее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Цемент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Наибольший размер частиц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1,2 мм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Средняя плотность,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1900 кг/м3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Расход воды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диапазон 0,16–0,2 л/кг сухой смеси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диапазон 4,0–5,0 л/мешок сухой смеси  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Выход готового раствора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0,6 л/кг сухой смеси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Средний расход смеси при толщине слоя 1 мм 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1,67 кг/м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Рекомендуемая толщина слоя при нанесении диапазон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8–35 мм</w:t>
            </w:r>
          </w:p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Жизнеспособность после смешения с водой,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ab/>
              <w:t>3 ч.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2500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32500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Песок сухой сеяный в бумажных мешках по 25 кг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10500</w:t>
            </w:r>
          </w:p>
        </w:tc>
      </w:tr>
      <w:tr w:rsidR="007C0A06" w:rsidRPr="007C0A06" w:rsidTr="007C0A06">
        <w:trPr>
          <w:trHeight w:val="622"/>
        </w:trPr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Лезвия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сегментированные для технических ножей, </w:t>
            </w:r>
            <w:r w:rsidRPr="007C0A0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-18 мм, 8 сегментов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Лист оцинкованный, ширина 1250 мм, длина 2500 мм, толщина 0,55 мм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1287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38610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Декоративная радиаторная решетка из ПВХ, тип - жалюзи, размером 600х1200 мм, цвет белый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199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995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Полуоткрытый пистолет 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герметика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228</w:t>
            </w:r>
          </w:p>
        </w:tc>
      </w:tr>
      <w:tr w:rsidR="007C0A06" w:rsidRPr="007C0A06" w:rsidTr="007C0A06">
        <w:trPr>
          <w:trHeight w:val="619"/>
        </w:trPr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Холодная Сварка для всех типов ПВХ, стыков линолеума, в тубах по 44 мл*. Тюбик Тип А предназначен для сплавления покрытий полов из ПВХ с плотно резаным швом (резка внахлёст). Металлическая игла в наконечнике  обеспечивает идеальный прочный шов на стыке. Расход: 44 гр. на диапазон 20-25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>. м. шва Время высыхания 25 минут.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595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23800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Уголок пластиковый 45х31 мм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>толщина 2 мм, 90 градусов, длина 3 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199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5970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832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1"/>
              <w:gridCol w:w="95"/>
            </w:tblGrid>
            <w:tr w:rsidR="007C0A06" w:rsidRPr="007C0A06" w:rsidTr="00AB0996">
              <w:trPr>
                <w:tblCellSpacing w:w="15" w:type="dxa"/>
              </w:trPr>
              <w:tc>
                <w:tcPr>
                  <w:tcW w:w="6416" w:type="dxa"/>
                  <w:vAlign w:val="center"/>
                  <w:hideMark/>
                </w:tcPr>
                <w:p w:rsidR="007C0A06" w:rsidRPr="007C0A06" w:rsidRDefault="007C0A06" w:rsidP="007C0A06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A06">
                    <w:rPr>
                      <w:rFonts w:ascii="Times New Roman" w:hAnsi="Times New Roman"/>
                      <w:sz w:val="20"/>
                      <w:szCs w:val="20"/>
                    </w:rPr>
                    <w:t xml:space="preserve">Зубило для перфоратора  SDS+ 400 мм, граненное, с лопаткой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7C0A06" w:rsidRPr="007C0A06" w:rsidRDefault="007C0A06" w:rsidP="007C0A06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676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Зубило для перфоратора  SDS+ 40х250 мм, изогнутое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434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Валик малярный 100 мм,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полиакрил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, в комплекте с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бюгелем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с пластиковой ручкой, для водно-дисперсионных, масляных красок и эмалей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470</w:t>
            </w:r>
          </w:p>
        </w:tc>
      </w:tr>
      <w:tr w:rsidR="007C0A06" w:rsidRPr="007C0A06" w:rsidTr="007C0A06">
        <w:trPr>
          <w:trHeight w:val="249"/>
        </w:trPr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Валик в сборе для работы с эмалями, 100% акрил, ворс 12 мм, 180 мм, </w:t>
            </w:r>
            <w:r w:rsidRPr="007C0A0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=8 мм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1440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Валик в сборе для фасадных работ, 100% акрил, ворс 18 мм, 180 мм, </w:t>
            </w:r>
            <w:r w:rsidRPr="007C0A0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 xml:space="preserve">=8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2660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Валик в сборе для работы с в/д красками, полиамид, ворс 12 мм, 180 мм, </w:t>
            </w:r>
            <w:r w:rsidRPr="007C0A0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0A06">
              <w:rPr>
                <w:rFonts w:ascii="Times New Roman" w:hAnsi="Times New Roman"/>
                <w:sz w:val="20"/>
                <w:szCs w:val="20"/>
              </w:rPr>
              <w:t>=8 мм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4920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металлу, кобальтовое, d=3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металлу, кобальтовое, d=4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1470</w:t>
            </w:r>
          </w:p>
        </w:tc>
      </w:tr>
      <w:tr w:rsidR="007C0A06" w:rsidRPr="007C0A06" w:rsidTr="007C0A06">
        <w:trPr>
          <w:trHeight w:val="255"/>
        </w:trPr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металлу, кобальтовое, d=5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2100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металлу, кобальтовое, d=6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металлу, кобальтовое, d=8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3640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металлу, кобальтовое, d=10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5880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Сверло по дереву, спиральное, d=3 мм</w:t>
            </w:r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7C0A0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320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дереву, спиральное, d=5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760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дереву, спиральное, d=6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740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дереву, спиральное, d=8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Сверло по дереву, спиральное, d=10 мм  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880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Порог прямой, алюминий, ширина 38 мм, длина 1350 мм (цвет светло-коричневый)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3840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Порог прямой, алюминий, ширина 38 мм, длина 900 мм (цвет светло-коричневый)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1270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 xml:space="preserve">Порог </w:t>
            </w:r>
            <w:proofErr w:type="spellStart"/>
            <w:r w:rsidRPr="007C0A06">
              <w:rPr>
                <w:rFonts w:ascii="Times New Roman" w:hAnsi="Times New Roman"/>
                <w:sz w:val="20"/>
                <w:szCs w:val="20"/>
              </w:rPr>
              <w:t>разноуровневый</w:t>
            </w:r>
            <w:proofErr w:type="spellEnd"/>
            <w:r w:rsidRPr="007C0A06">
              <w:rPr>
                <w:rFonts w:ascii="Times New Roman" w:hAnsi="Times New Roman"/>
                <w:sz w:val="20"/>
                <w:szCs w:val="20"/>
              </w:rPr>
              <w:t xml:space="preserve"> (кант) ,40х1350х0-15 мм (цвет светло-коричневый)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2990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Порог (угол) 1350х40х22 мм (цвет светло-коричневый)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504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5040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Порог (стык), 1800х60 мм (цвет светло-коричневый)</w:t>
            </w: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A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0A0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4220</w:t>
            </w:r>
          </w:p>
        </w:tc>
      </w:tr>
      <w:tr w:rsidR="007C0A06" w:rsidRPr="007C0A06" w:rsidTr="007C0A06">
        <w:tc>
          <w:tcPr>
            <w:tcW w:w="547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2" w:type="dxa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C0A06" w:rsidRPr="007C0A06" w:rsidRDefault="007C0A06" w:rsidP="007C0A06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A06">
              <w:rPr>
                <w:rFonts w:ascii="Times New Roman" w:hAnsi="Times New Roman"/>
                <w:bCs/>
                <w:sz w:val="20"/>
                <w:szCs w:val="20"/>
              </w:rPr>
              <w:t>1173170,92</w:t>
            </w:r>
          </w:p>
        </w:tc>
      </w:tr>
    </w:tbl>
    <w:p w:rsidR="007C0A06" w:rsidRPr="007C0A06" w:rsidRDefault="007C0A06" w:rsidP="007C0A06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A06" w:rsidRDefault="007C0A0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Итого: один миллион сто семьдесят три тысячи сто семьдесят рублей 92 копейки, с учетом НДС 20%.</w:t>
      </w:r>
    </w:p>
    <w:p w:rsidR="007C0A06" w:rsidRDefault="007C0A0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A06" w:rsidRDefault="007C0A0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Заказчик                                                                                             Поставщик</w:t>
      </w:r>
    </w:p>
    <w:p w:rsidR="007C0A06" w:rsidRDefault="007C0A0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A06" w:rsidRDefault="007C0A0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Проректор________________</w:t>
      </w:r>
      <w:proofErr w:type="spellStart"/>
      <w:r>
        <w:rPr>
          <w:rFonts w:ascii="Times New Roman" w:hAnsi="Times New Roman"/>
          <w:sz w:val="20"/>
          <w:szCs w:val="20"/>
        </w:rPr>
        <w:t>А.А.Новоселов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Директор_________________</w:t>
      </w:r>
      <w:proofErr w:type="spellStart"/>
      <w:r>
        <w:rPr>
          <w:rFonts w:ascii="Times New Roman" w:hAnsi="Times New Roman"/>
          <w:sz w:val="20"/>
          <w:szCs w:val="20"/>
        </w:rPr>
        <w:t>А.А.Мошкарев</w:t>
      </w:r>
      <w:proofErr w:type="spellEnd"/>
    </w:p>
    <w:p w:rsidR="007C0A06" w:rsidRPr="00946684" w:rsidRDefault="007C0A0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Электронная подпись</w:t>
      </w:r>
    </w:p>
    <w:sectPr w:rsidR="007C0A06" w:rsidRPr="00946684" w:rsidSect="00946684">
      <w:headerReference w:type="default" r:id="rId9"/>
      <w:footerReference w:type="default" r:id="rId10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6B" w:rsidRDefault="002F6B6B" w:rsidP="003B51F1">
      <w:pPr>
        <w:spacing w:after="0" w:line="240" w:lineRule="auto"/>
      </w:pPr>
      <w:r>
        <w:separator/>
      </w:r>
    </w:p>
  </w:endnote>
  <w:endnote w:type="continuationSeparator" w:id="0">
    <w:p w:rsidR="002F6B6B" w:rsidRDefault="002F6B6B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Pr="003B51F1" w:rsidRDefault="00946684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6B" w:rsidRDefault="002F6B6B" w:rsidP="003B51F1">
      <w:pPr>
        <w:spacing w:after="0" w:line="240" w:lineRule="auto"/>
      </w:pPr>
      <w:r>
        <w:separator/>
      </w:r>
    </w:p>
  </w:footnote>
  <w:footnote w:type="continuationSeparator" w:id="0">
    <w:p w:rsidR="002F6B6B" w:rsidRDefault="002F6B6B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Default="009466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33C13"/>
    <w:rsid w:val="000444C0"/>
    <w:rsid w:val="00044E5A"/>
    <w:rsid w:val="00050A82"/>
    <w:rsid w:val="00051136"/>
    <w:rsid w:val="0006130B"/>
    <w:rsid w:val="00063E9F"/>
    <w:rsid w:val="00071684"/>
    <w:rsid w:val="00071CB1"/>
    <w:rsid w:val="00083D3A"/>
    <w:rsid w:val="00096160"/>
    <w:rsid w:val="000A0710"/>
    <w:rsid w:val="000B0780"/>
    <w:rsid w:val="000B4432"/>
    <w:rsid w:val="000B7FCD"/>
    <w:rsid w:val="000C0EC4"/>
    <w:rsid w:val="000D4F68"/>
    <w:rsid w:val="000D51DA"/>
    <w:rsid w:val="000E5BC6"/>
    <w:rsid w:val="001136E1"/>
    <w:rsid w:val="00126575"/>
    <w:rsid w:val="001457EC"/>
    <w:rsid w:val="00160A4B"/>
    <w:rsid w:val="00165D08"/>
    <w:rsid w:val="001967D0"/>
    <w:rsid w:val="001B4D54"/>
    <w:rsid w:val="001C1B2B"/>
    <w:rsid w:val="001C2F23"/>
    <w:rsid w:val="001D64E2"/>
    <w:rsid w:val="001E2D86"/>
    <w:rsid w:val="001F1E4F"/>
    <w:rsid w:val="001F4E79"/>
    <w:rsid w:val="0020700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C5219"/>
    <w:rsid w:val="002F4541"/>
    <w:rsid w:val="002F6B6B"/>
    <w:rsid w:val="00324C52"/>
    <w:rsid w:val="003265FD"/>
    <w:rsid w:val="00351BF5"/>
    <w:rsid w:val="00355864"/>
    <w:rsid w:val="00361214"/>
    <w:rsid w:val="00365691"/>
    <w:rsid w:val="00371D0E"/>
    <w:rsid w:val="00390D18"/>
    <w:rsid w:val="00391425"/>
    <w:rsid w:val="003B51F1"/>
    <w:rsid w:val="003B71BC"/>
    <w:rsid w:val="003D4A22"/>
    <w:rsid w:val="003E433C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F1111"/>
    <w:rsid w:val="004F1FE2"/>
    <w:rsid w:val="00500141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40D49"/>
    <w:rsid w:val="0064344C"/>
    <w:rsid w:val="006615FE"/>
    <w:rsid w:val="00661C9E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351BB"/>
    <w:rsid w:val="00744685"/>
    <w:rsid w:val="00766B97"/>
    <w:rsid w:val="00796F6A"/>
    <w:rsid w:val="007B2AD3"/>
    <w:rsid w:val="007B6D5C"/>
    <w:rsid w:val="007B72F2"/>
    <w:rsid w:val="007C0A06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42C19"/>
    <w:rsid w:val="00946684"/>
    <w:rsid w:val="00966E75"/>
    <w:rsid w:val="009A2D2E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089D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61816"/>
    <w:rsid w:val="00B97AA7"/>
    <w:rsid w:val="00BB319C"/>
    <w:rsid w:val="00BB48D8"/>
    <w:rsid w:val="00BB6B81"/>
    <w:rsid w:val="00BE5C97"/>
    <w:rsid w:val="00C10563"/>
    <w:rsid w:val="00C15152"/>
    <w:rsid w:val="00C2780D"/>
    <w:rsid w:val="00C5688B"/>
    <w:rsid w:val="00C6487C"/>
    <w:rsid w:val="00C64A12"/>
    <w:rsid w:val="00C71373"/>
    <w:rsid w:val="00C71CB5"/>
    <w:rsid w:val="00C83596"/>
    <w:rsid w:val="00C962F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36526"/>
    <w:rsid w:val="00D45F42"/>
    <w:rsid w:val="00D713BB"/>
    <w:rsid w:val="00D76F09"/>
    <w:rsid w:val="00D83893"/>
    <w:rsid w:val="00DB734C"/>
    <w:rsid w:val="00DE065A"/>
    <w:rsid w:val="00DE49F0"/>
    <w:rsid w:val="00DF3863"/>
    <w:rsid w:val="00E0470F"/>
    <w:rsid w:val="00E15129"/>
    <w:rsid w:val="00E26FBD"/>
    <w:rsid w:val="00E371DE"/>
    <w:rsid w:val="00E4699E"/>
    <w:rsid w:val="00E52235"/>
    <w:rsid w:val="00E87435"/>
    <w:rsid w:val="00ED2F67"/>
    <w:rsid w:val="00ED6F13"/>
    <w:rsid w:val="00EE56EB"/>
    <w:rsid w:val="00F15679"/>
    <w:rsid w:val="00F2531F"/>
    <w:rsid w:val="00F54E9E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0911-E102-4F25-9F2E-03439801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7</cp:revision>
  <dcterms:created xsi:type="dcterms:W3CDTF">2019-10-28T04:07:00Z</dcterms:created>
  <dcterms:modified xsi:type="dcterms:W3CDTF">2019-11-15T06:55:00Z</dcterms:modified>
</cp:coreProperties>
</file>