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bookmarkStart w:id="0" w:name="_GoBack"/>
      <w:r w:rsidRPr="00DC6D29">
        <w:rPr>
          <w:rFonts w:ascii="Times New Roman" w:eastAsia="Times New Roman" w:hAnsi="Times New Roman" w:cs="Times New Roman"/>
          <w:sz w:val="20"/>
          <w:szCs w:val="20"/>
          <w:lang w:eastAsia="ru-RU"/>
        </w:rPr>
        <w:t xml:space="preserve">Извещение о проведении электронного аукциона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для закупки №0351100001721000102</w:t>
      </w:r>
    </w:p>
    <w:tbl>
      <w:tblPr>
        <w:tblW w:w="5000" w:type="pct"/>
        <w:tblCellMar>
          <w:left w:w="0" w:type="dxa"/>
          <w:right w:w="0" w:type="dxa"/>
        </w:tblCellMar>
        <w:tblLook w:val="04A0" w:firstRow="1" w:lastRow="0" w:firstColumn="1" w:lastColumn="0" w:noHBand="0" w:noVBand="1"/>
      </w:tblPr>
      <w:tblGrid>
        <w:gridCol w:w="4186"/>
        <w:gridCol w:w="6280"/>
      </w:tblGrid>
      <w:tr w:rsidR="00DC6D29" w:rsidRPr="00DC6D29" w:rsidTr="00DC6D29">
        <w:tc>
          <w:tcPr>
            <w:tcW w:w="2000" w:type="pc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извещения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0351100001721000102</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Услуги по охране объектов и имущества, а также по обеспечению внутриобъектового и пропускного режимов на объектах Томского техникума железнодорожного транспорта- филиала университета</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Электронный аукцион</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АО «ЕЭТП»</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http://roseltorg.ru</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Заказчик</w:t>
            </w:r>
            <w:r w:rsidRPr="00DC6D29">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Почтовый адрес</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Российская Федерация, 630049, Новосибирская обл, Новосибирск г, УЛИЦА ДУСИ КОВАЛЬЧУК, 191</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Место нахождения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Российская Федерация, 630049, Новосибирская обл, Новосибирск г, УЛИЦА ДУСИ КОВАЛЬЧУК, 191</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Печко Елена Ивановна</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pechko@stu.ru</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7-383-3280582</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Факс</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Информация отсутствует</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По техническим вопросам обращаться в Томский техникум к специалисту по ГО и Б Юрченко А.М. Тел (382-2) 650154</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Дата и время начала подачи заявок</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Дата и время окончания подачи заявок</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10.12.2021 08:00</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Место подачи заявок</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www.etp.roseltorg.ru </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Порядок подачи заявок</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в форме электронного документа</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Дата окончания срока рассмотрения первых частей заявок участников</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13.12.2021</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Дата проведения аукциона в электронной форме</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14.12.2021</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Информация отсутствует</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4593142.66 Российский рубль</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94"/>
              <w:gridCol w:w="2033"/>
              <w:gridCol w:w="2033"/>
              <w:gridCol w:w="2033"/>
              <w:gridCol w:w="3173"/>
            </w:tblGrid>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Всего: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Сумма на последующие годы </w:t>
                  </w:r>
                </w:p>
              </w:tc>
            </w:tr>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4593142.66</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4593142.66</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r>
          </w:tbl>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84"/>
              <w:gridCol w:w="1059"/>
              <w:gridCol w:w="1803"/>
              <w:gridCol w:w="1803"/>
              <w:gridCol w:w="1803"/>
              <w:gridCol w:w="2814"/>
            </w:tblGrid>
            <w:tr w:rsidR="00DC6D29" w:rsidRPr="00DC6D29">
              <w:trPr>
                <w:gridAfter w:val="1"/>
              </w:trPr>
              <w:tc>
                <w:tcPr>
                  <w:tcW w:w="0" w:type="auto"/>
                  <w:gridSpan w:val="5"/>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Российский рубль</w:t>
                  </w:r>
                </w:p>
              </w:tc>
            </w:tr>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Всего: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Сумма на последующие годы </w:t>
                  </w:r>
                </w:p>
              </w:tc>
            </w:tr>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244</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4593142.66</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4593142.66</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0.00</w:t>
                  </w:r>
                </w:p>
              </w:tc>
            </w:tr>
          </w:tbl>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средства бюджетного учреждения на 2022 г. (субсидия федерального бюджета на 2022г.) </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211540211315554020100101280018010244</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Российская Федерация, Томская обл, Томск г, пер. Переездный, 1, д.1, стр2; д.1, стр.3, пер Переездный 3 и прилегающая территория</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С 16.01.2022г. до 15.01.2023г. включительно</w:t>
            </w:r>
          </w:p>
        </w:tc>
      </w:tr>
      <w:tr w:rsidR="00DC6D29" w:rsidRPr="00DC6D29" w:rsidTr="00DC6D29">
        <w:tc>
          <w:tcPr>
            <w:tcW w:w="0" w:type="auto"/>
            <w:gridSpan w:val="2"/>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lastRenderedPageBreak/>
              <w:t>Объект закупки</w:t>
            </w:r>
          </w:p>
        </w:tc>
      </w:tr>
      <w:tr w:rsidR="00DC6D29" w:rsidRPr="00DC6D29" w:rsidTr="00DC6D29">
        <w:tc>
          <w:tcPr>
            <w:tcW w:w="0" w:type="auto"/>
            <w:gridSpan w:val="2"/>
            <w:vAlign w:val="center"/>
            <w:hideMark/>
          </w:tcPr>
          <w:p w:rsidR="00DC6D29" w:rsidRPr="00DC6D29" w:rsidRDefault="00DC6D29" w:rsidP="00DC6D29">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Российский рубль</w:t>
            </w:r>
          </w:p>
        </w:tc>
      </w:tr>
      <w:tr w:rsidR="00DC6D29" w:rsidRPr="00DC6D29" w:rsidTr="00DC6D29">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043"/>
              <w:gridCol w:w="1074"/>
              <w:gridCol w:w="1339"/>
              <w:gridCol w:w="842"/>
              <w:gridCol w:w="1158"/>
              <w:gridCol w:w="1158"/>
              <w:gridCol w:w="1070"/>
              <w:gridCol w:w="795"/>
              <w:gridCol w:w="987"/>
            </w:tblGrid>
            <w:tr w:rsidR="00DC6D29" w:rsidRPr="00DC6D29">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Наименование товара, работы, услуги по КТРУ</w:t>
                  </w:r>
                </w:p>
              </w:tc>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Код позиции</w:t>
                  </w:r>
                </w:p>
              </w:tc>
              <w:tc>
                <w:tcPr>
                  <w:tcW w:w="0" w:type="auto"/>
                  <w:gridSpan w:val="3"/>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Цена за ед.изм.</w:t>
                  </w:r>
                </w:p>
              </w:tc>
              <w:tc>
                <w:tcPr>
                  <w:tcW w:w="0" w:type="auto"/>
                  <w:vMerge w:val="restart"/>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Стоимость</w:t>
                  </w:r>
                </w:p>
              </w:tc>
            </w:tr>
            <w:tr w:rsidR="00DC6D29" w:rsidRPr="00DC6D29">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Наименование</w:t>
                  </w:r>
                </w:p>
              </w:tc>
              <w:tc>
                <w:tcPr>
                  <w:tcW w:w="0" w:type="auto"/>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Значение</w:t>
                  </w:r>
                </w:p>
              </w:tc>
              <w:tc>
                <w:tcPr>
                  <w:tcW w:w="0" w:type="auto"/>
                  <w:vAlign w:val="center"/>
                  <w:hideMark/>
                </w:tcPr>
                <w:p w:rsidR="00DC6D29" w:rsidRPr="00DC6D29" w:rsidRDefault="00DC6D29" w:rsidP="00DC6D29">
                  <w:pPr>
                    <w:spacing w:after="0" w:line="240" w:lineRule="auto"/>
                    <w:jc w:val="center"/>
                    <w:rPr>
                      <w:rFonts w:ascii="Times New Roman" w:eastAsia="Times New Roman" w:hAnsi="Times New Roman" w:cs="Times New Roman"/>
                      <w:b/>
                      <w:bCs/>
                      <w:sz w:val="20"/>
                      <w:szCs w:val="20"/>
                      <w:lang w:eastAsia="ru-RU"/>
                    </w:rPr>
                  </w:pPr>
                  <w:r w:rsidRPr="00DC6D29">
                    <w:rPr>
                      <w:rFonts w:ascii="Times New Roman" w:eastAsia="Times New Roman" w:hAnsi="Times New Roman" w:cs="Times New Roman"/>
                      <w:b/>
                      <w:bCs/>
                      <w:sz w:val="20"/>
                      <w:szCs w:val="20"/>
                      <w:lang w:eastAsia="ru-RU"/>
                    </w:rPr>
                    <w:t>Единица измерения</w:t>
                  </w:r>
                </w:p>
              </w:tc>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6D29" w:rsidRPr="00DC6D29" w:rsidRDefault="00DC6D29" w:rsidP="00DC6D29">
                  <w:pPr>
                    <w:spacing w:after="0" w:line="240" w:lineRule="auto"/>
                    <w:rPr>
                      <w:rFonts w:ascii="Times New Roman" w:eastAsia="Times New Roman" w:hAnsi="Times New Roman" w:cs="Times New Roman"/>
                      <w:b/>
                      <w:bCs/>
                      <w:sz w:val="20"/>
                      <w:szCs w:val="20"/>
                      <w:lang w:eastAsia="ru-RU"/>
                    </w:rPr>
                  </w:pPr>
                </w:p>
              </w:tc>
            </w:tr>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Охранные услуги (пост 24ч)</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80.10.12.000</w:t>
                  </w:r>
                </w:p>
              </w:tc>
              <w:tc>
                <w:tcPr>
                  <w:tcW w:w="0" w:type="auto"/>
                  <w:gridSpan w:val="3"/>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Час</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186.43</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186.43</w:t>
                  </w:r>
                </w:p>
              </w:tc>
            </w:tr>
            <w:tr w:rsidR="00DC6D29" w:rsidRP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охранные услуги (пост 24ч)</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80.10.12.000</w:t>
                  </w:r>
                </w:p>
              </w:tc>
              <w:tc>
                <w:tcPr>
                  <w:tcW w:w="0" w:type="auto"/>
                  <w:gridSpan w:val="3"/>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Час</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17519</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262.17</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4592956.23</w:t>
                  </w:r>
                </w:p>
              </w:tc>
            </w:tr>
          </w:tbl>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gridSpan w:val="2"/>
            <w:vAlign w:val="center"/>
            <w:hideMark/>
          </w:tcPr>
          <w:p w:rsidR="00DC6D29" w:rsidRPr="00DC6D29" w:rsidRDefault="00DC6D29" w:rsidP="00DC6D29">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Итого: 4593142.66 Российский рубль</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Преимущества</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Не установлены</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1 Единые требования к участникам закупок в соответствии с ч. 1 ст. 31 Закона № 44-ФЗ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Участник настоящего электронного аукциона должен соответствовать требованиям, установленным подпунктам 1-7, 9,11,12 пункта 3.1 Общей части документации Участник должен иметь :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Участник аукциона должен соответствовать дополнительным требованиям, установленным Постановлением Правительства РФ от 04.02.15 №99,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должна составлять не менее 20 процентов начальной (максимальной) цены контракта, договора (цены лота), на право заключить который проводится закупка. Документы направляются Заказчику оператором электронной площадки в составе второй части заявки согласно ч.8.2 ст.66 Федерального закона № 44-ФЗ.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3 . 1 Требования в соответствии с п. 9 приложения № 1 ПП РФ № 99 </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 </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lastRenderedPageBreak/>
              <w:t>Ограничения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Не установлены</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Требуется обеспечение заявок</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Размер обеспечения заявок</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22965.71 Российский рубль</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Порядок внесения денежных средств в качестве обеспечения заявок</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расчётного счёта" 03214643000000015100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лицевого счёта" 20516Х38290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"БИК" 015004950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"Наименование кредитной организации" Сибрское ГУ банка России//УФК по Новосибирской области г. Новосибирск</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корреспондентского счета" 40102810445370000043</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459314.27 Российский рубль</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 xml:space="preserve">Участник аукциона, с которым заключается контракт ,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 Денежные средства, представляемые в качестве обеспечения исполнения контракта, перечисляются на расчетный счет заказчика. Платежные реквизиты для перечисления денежных средств для обеспечения исполнения контракта: Адрес: 630049, г.Новосибирск, ул.Дуси Ковальчук, д.191, СГУПС. ИНН 5402113155 КПП 540201001 ОКПО: 01115969 Получатель: УФК по Новосибирской области (СГУПС л/с 20516Х38290) Банк: Сибирское ГУ Банка России // УФК по Новосибирской области г.Новосибирск БИК 015004950 Номер единого казначейского счета 40102810445370000043 Казначейский счет получателя 03214643000000015100 КБК 000 000 000 000 000 00 510 (указывать обязательно) Назначение платежа: обеспечение исполнения Контракта по …. </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Платежные реквизиты</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расчётного счёта" 03214643000000015100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лицевого счёта" 20516Х38290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"БИК" 015004950</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"Наименование кредитной организации" Сибрское ГУ банка России//УФК по Новосибирской области г. Новосибирск</w:t>
            </w:r>
          </w:p>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"Номер корреспондентского счета" 40102810445370000043</w:t>
            </w: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Обеспечение гарантийных обязательств не требуется</w:t>
            </w:r>
          </w:p>
        </w:tc>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p>
        </w:tc>
      </w:tr>
      <w:tr w:rsidR="00DC6D29" w:rsidRPr="00DC6D29" w:rsidTr="00DC6D29">
        <w:tc>
          <w:tcPr>
            <w:tcW w:w="0" w:type="auto"/>
            <w:gridSpan w:val="2"/>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DC6D29" w:rsidRPr="00DC6D29" w:rsidTr="00DC6D29">
        <w:tc>
          <w:tcPr>
            <w:tcW w:w="0" w:type="auto"/>
            <w:gridSpan w:val="2"/>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DC6D29" w:rsidRPr="00DC6D29" w:rsidT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Дополнительная информация</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Информация отсутствует</w:t>
            </w:r>
          </w:p>
        </w:tc>
      </w:tr>
      <w:tr w:rsidR="00DC6D29" w:rsidRPr="00DC6D29" w:rsidTr="00DC6D29">
        <w:tc>
          <w:tcPr>
            <w:tcW w:w="0" w:type="auto"/>
            <w:vAlign w:val="center"/>
            <w:hideMark/>
          </w:tcPr>
          <w:p w:rsidR="00DC6D29" w:rsidRPr="00DC6D29" w:rsidRDefault="00DC6D29" w:rsidP="00DC6D29">
            <w:pPr>
              <w:spacing w:after="0"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b/>
                <w:bCs/>
                <w:sz w:val="20"/>
                <w:szCs w:val="20"/>
                <w:lang w:eastAsia="ru-RU"/>
              </w:rPr>
              <w:t>Перечень прикрепленных документов</w:t>
            </w:r>
          </w:p>
        </w:tc>
        <w:tc>
          <w:tcPr>
            <w:tcW w:w="0" w:type="auto"/>
            <w:vAlign w:val="center"/>
            <w:hideMark/>
          </w:tcPr>
          <w:p w:rsidR="00DC6D29" w:rsidRPr="00DC6D29" w:rsidRDefault="00DC6D29" w:rsidP="00DC6D29">
            <w:pPr>
              <w:spacing w:before="100" w:beforeAutospacing="1" w:after="100" w:afterAutospacing="1" w:line="240" w:lineRule="auto"/>
              <w:rPr>
                <w:rFonts w:ascii="Times New Roman" w:eastAsia="Times New Roman" w:hAnsi="Times New Roman" w:cs="Times New Roman"/>
                <w:sz w:val="20"/>
                <w:szCs w:val="20"/>
                <w:lang w:eastAsia="ru-RU"/>
              </w:rPr>
            </w:pPr>
            <w:r w:rsidRPr="00DC6D29">
              <w:rPr>
                <w:rFonts w:ascii="Times New Roman" w:eastAsia="Times New Roman" w:hAnsi="Times New Roman" w:cs="Times New Roman"/>
                <w:sz w:val="20"/>
                <w:szCs w:val="20"/>
                <w:lang w:eastAsia="ru-RU"/>
              </w:rPr>
              <w:t>1 ЭА-102 Документация на оказание услуг по охране объектов ТТЖТ</w:t>
            </w:r>
          </w:p>
        </w:tc>
      </w:tr>
      <w:bookmarkEnd w:id="0"/>
    </w:tbl>
    <w:p w:rsidR="0093325A" w:rsidRPr="00DC6D29" w:rsidRDefault="0093325A">
      <w:pPr>
        <w:rPr>
          <w:rFonts w:ascii="Times New Roman" w:hAnsi="Times New Roman" w:cs="Times New Roman"/>
          <w:sz w:val="20"/>
          <w:szCs w:val="20"/>
        </w:rPr>
      </w:pPr>
    </w:p>
    <w:sectPr w:rsidR="0093325A" w:rsidRPr="00DC6D29" w:rsidSect="00DC6D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22"/>
    <w:rsid w:val="0093325A"/>
    <w:rsid w:val="009F3922"/>
    <w:rsid w:val="00DC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61300">
      <w:bodyDiv w:val="1"/>
      <w:marLeft w:val="0"/>
      <w:marRight w:val="0"/>
      <w:marTop w:val="0"/>
      <w:marBottom w:val="0"/>
      <w:divBdr>
        <w:top w:val="none" w:sz="0" w:space="0" w:color="auto"/>
        <w:left w:val="none" w:sz="0" w:space="0" w:color="auto"/>
        <w:bottom w:val="none" w:sz="0" w:space="0" w:color="auto"/>
        <w:right w:val="none" w:sz="0" w:space="0" w:color="auto"/>
      </w:divBdr>
      <w:divsChild>
        <w:div w:id="1066999754">
          <w:marLeft w:val="0"/>
          <w:marRight w:val="0"/>
          <w:marTop w:val="0"/>
          <w:marBottom w:val="0"/>
          <w:divBdr>
            <w:top w:val="none" w:sz="0" w:space="0" w:color="auto"/>
            <w:left w:val="none" w:sz="0" w:space="0" w:color="auto"/>
            <w:bottom w:val="none" w:sz="0" w:space="0" w:color="auto"/>
            <w:right w:val="none" w:sz="0" w:space="0" w:color="auto"/>
          </w:divBdr>
          <w:divsChild>
            <w:div w:id="1864392679">
              <w:marLeft w:val="0"/>
              <w:marRight w:val="0"/>
              <w:marTop w:val="0"/>
              <w:marBottom w:val="0"/>
              <w:divBdr>
                <w:top w:val="none" w:sz="0" w:space="0" w:color="auto"/>
                <w:left w:val="none" w:sz="0" w:space="0" w:color="auto"/>
                <w:bottom w:val="none" w:sz="0" w:space="0" w:color="auto"/>
                <w:right w:val="none" w:sz="0" w:space="0" w:color="auto"/>
              </w:divBdr>
              <w:divsChild>
                <w:div w:id="704672809">
                  <w:marLeft w:val="0"/>
                  <w:marRight w:val="0"/>
                  <w:marTop w:val="0"/>
                  <w:marBottom w:val="0"/>
                  <w:divBdr>
                    <w:top w:val="none" w:sz="0" w:space="0" w:color="auto"/>
                    <w:left w:val="none" w:sz="0" w:space="0" w:color="auto"/>
                    <w:bottom w:val="none" w:sz="0" w:space="0" w:color="auto"/>
                    <w:right w:val="none" w:sz="0" w:space="0" w:color="auto"/>
                  </w:divBdr>
                  <w:divsChild>
                    <w:div w:id="228342349">
                      <w:marLeft w:val="0"/>
                      <w:marRight w:val="0"/>
                      <w:marTop w:val="0"/>
                      <w:marBottom w:val="0"/>
                      <w:divBdr>
                        <w:top w:val="none" w:sz="0" w:space="0" w:color="auto"/>
                        <w:left w:val="none" w:sz="0" w:space="0" w:color="auto"/>
                        <w:bottom w:val="none" w:sz="0" w:space="0" w:color="auto"/>
                        <w:right w:val="none" w:sz="0" w:space="0" w:color="auto"/>
                      </w:divBdr>
                      <w:divsChild>
                        <w:div w:id="1266574093">
                          <w:marLeft w:val="0"/>
                          <w:marRight w:val="0"/>
                          <w:marTop w:val="0"/>
                          <w:marBottom w:val="0"/>
                          <w:divBdr>
                            <w:top w:val="none" w:sz="0" w:space="0" w:color="auto"/>
                            <w:left w:val="none" w:sz="0" w:space="0" w:color="auto"/>
                            <w:bottom w:val="none" w:sz="0" w:space="0" w:color="auto"/>
                            <w:right w:val="none" w:sz="0" w:space="0" w:color="auto"/>
                          </w:divBdr>
                          <w:divsChild>
                            <w:div w:id="1113786964">
                              <w:marLeft w:val="0"/>
                              <w:marRight w:val="0"/>
                              <w:marTop w:val="0"/>
                              <w:marBottom w:val="0"/>
                              <w:divBdr>
                                <w:top w:val="none" w:sz="0" w:space="0" w:color="auto"/>
                                <w:left w:val="none" w:sz="0" w:space="0" w:color="auto"/>
                                <w:bottom w:val="none" w:sz="0" w:space="0" w:color="auto"/>
                                <w:right w:val="none" w:sz="0" w:space="0" w:color="auto"/>
                              </w:divBdr>
                              <w:divsChild>
                                <w:div w:id="703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2021-12-02T09:20:00Z</dcterms:created>
  <dcterms:modified xsi:type="dcterms:W3CDTF">2021-12-02T09:20:00Z</dcterms:modified>
</cp:coreProperties>
</file>