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B6A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CE5B6A">
        <w:rPr>
          <w:rFonts w:ascii="Times New Roman" w:hAnsi="Times New Roman" w:cs="Times New Roman"/>
          <w:sz w:val="20"/>
          <w:szCs w:val="20"/>
        </w:rPr>
        <w:t xml:space="preserve"> ЭА-34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5B6A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CE5B6A">
        <w:rPr>
          <w:rFonts w:ascii="Times New Roman" w:hAnsi="Times New Roman" w:cs="Times New Roman"/>
          <w:sz w:val="20"/>
          <w:szCs w:val="20"/>
        </w:rPr>
        <w:t xml:space="preserve">а  Поставку </w:t>
      </w:r>
      <w:r w:rsidR="00CE5B6A" w:rsidRPr="00CE5B6A">
        <w:rPr>
          <w:rFonts w:ascii="Times New Roman" w:hAnsi="Times New Roman" w:cs="Times New Roman"/>
          <w:sz w:val="20"/>
          <w:szCs w:val="20"/>
        </w:rPr>
        <w:t>и монтаж светодиодного экрана для актового зала университета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CE5B6A" w:rsidRPr="00CE5B6A">
        <w:rPr>
          <w:rFonts w:ascii="Times New Roman" w:hAnsi="Times New Roman" w:cs="Times New Roman"/>
          <w:sz w:val="20"/>
          <w:szCs w:val="20"/>
        </w:rPr>
        <w:t>221540211315554020100100560012790244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Pr="001D7BF8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r w:rsidR="001D7BF8" w:rsidRPr="001D7BF8">
        <w:rPr>
          <w:rFonts w:ascii="Times New Roman" w:hAnsi="Times New Roman" w:cs="Times New Roman"/>
          <w:b/>
          <w:i/>
          <w:sz w:val="20"/>
          <w:szCs w:val="20"/>
        </w:rPr>
        <w:t>применяются условия допуска товаров, происходящих из иностранного государства или группы иностранных государств, предусмотренные  Приказом Минфина РФ от 04.06.2018г. №126н.</w:t>
      </w:r>
    </w:p>
    <w:p w:rsidR="0009390A" w:rsidRPr="001D7BF8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D7BF8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A6450F" w:rsidRPr="001D7BF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F5DD2" w:rsidRPr="001D7BF8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BF8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bookmarkEnd w:id="0"/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D7BF8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5B6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2022-07-13T00:45:00Z</dcterms:modified>
</cp:coreProperties>
</file>