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1C4355">
        <w:t xml:space="preserve"> </w:t>
      </w:r>
      <w:r w:rsidR="001C4355" w:rsidRPr="001C4355">
        <w:rPr>
          <w:rFonts w:ascii="Times New Roman" w:hAnsi="Times New Roman"/>
          <w:b/>
          <w:sz w:val="20"/>
          <w:szCs w:val="20"/>
        </w:rPr>
        <w:t>221540211315554020100100740012620244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F0D06">
        <w:rPr>
          <w:rFonts w:ascii="Times New Roman" w:hAnsi="Times New Roman"/>
          <w:sz w:val="20"/>
          <w:szCs w:val="20"/>
        </w:rPr>
        <w:t>49</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0D06">
        <w:rPr>
          <w:rFonts w:ascii="Times New Roman" w:hAnsi="Times New Roman"/>
          <w:sz w:val="20"/>
          <w:szCs w:val="20"/>
        </w:rPr>
        <w:t>периферийных устройств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0D06">
        <w:rPr>
          <w:rFonts w:ascii="Times New Roman" w:hAnsi="Times New Roman"/>
          <w:sz w:val="20"/>
          <w:szCs w:val="20"/>
        </w:rPr>
        <w:t>периферийные устройства</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F0D06">
        <w:rPr>
          <w:rFonts w:ascii="Times New Roman" w:hAnsi="Times New Roman"/>
          <w:sz w:val="20"/>
          <w:szCs w:val="20"/>
        </w:rPr>
        <w:t>45</w:t>
      </w:r>
      <w:r w:rsidR="000F45A2">
        <w:rPr>
          <w:rFonts w:ascii="Times New Roman" w:hAnsi="Times New Roman"/>
          <w:sz w:val="20"/>
          <w:szCs w:val="20"/>
        </w:rPr>
        <w:t xml:space="preserve"> </w:t>
      </w:r>
      <w:r w:rsidR="000F0D06">
        <w:rPr>
          <w:rFonts w:ascii="Times New Roman" w:hAnsi="Times New Roman"/>
          <w:sz w:val="20"/>
          <w:szCs w:val="20"/>
        </w:rPr>
        <w:t>(сорока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C4355">
        <w:rPr>
          <w:rFonts w:ascii="Times New Roman" w:hAnsi="Times New Roman"/>
          <w:sz w:val="20"/>
          <w:szCs w:val="20"/>
        </w:rPr>
        <w:t>ля и составлять не менее 12</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0D0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0BEF-B9A4-4C8E-9842-D2BDC4C2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2022-08-30T02:56:00Z</dcterms:created>
  <dcterms:modified xsi:type="dcterms:W3CDTF">2022-08-30T02:56:00Z</dcterms:modified>
</cp:coreProperties>
</file>