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A81C02">
        <w:t>шаблона электронного путевого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A81C02">
              <w:t>шаблона электронного путевого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A81C0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A81C0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5C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54"/>
        <w:gridCol w:w="1317"/>
        <w:gridCol w:w="1413"/>
        <w:gridCol w:w="1225"/>
        <w:gridCol w:w="1225"/>
        <w:gridCol w:w="1225"/>
        <w:gridCol w:w="1209"/>
        <w:gridCol w:w="1197"/>
        <w:gridCol w:w="1517"/>
        <w:gridCol w:w="1325"/>
        <w:gridCol w:w="1559"/>
      </w:tblGrid>
      <w:tr w:rsidR="00A81C02" w:rsidRPr="00A81C02" w:rsidTr="00A81C02">
        <w:trPr>
          <w:trHeight w:val="540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A81C02" w:rsidRPr="00A81C02" w:rsidTr="00A81C02">
        <w:trPr>
          <w:trHeight w:val="564"/>
        </w:trPr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A81C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A81C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A81C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1C02" w:rsidRPr="00A81C02" w:rsidTr="00A81C02">
        <w:trPr>
          <w:trHeight w:val="288"/>
        </w:trPr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81C02" w:rsidRPr="00A81C02" w:rsidTr="00A81C02">
        <w:trPr>
          <w:trHeight w:val="288"/>
        </w:trPr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 путевой,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470000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482000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436500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2" w:rsidRPr="00A81C02" w:rsidRDefault="00A81C02" w:rsidP="00A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C02">
              <w:rPr>
                <w:rFonts w:ascii="Times New Roman" w:eastAsia="Times New Roman" w:hAnsi="Times New Roman" w:cs="Times New Roman"/>
                <w:lang w:eastAsia="ru-RU"/>
              </w:rPr>
              <w:t>5,10%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81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1C02" w:rsidRPr="00A81C02" w:rsidRDefault="00A81C02" w:rsidP="00A81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1 388 499,99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F1CBE"/>
    <w:rsid w:val="002F2CAF"/>
    <w:rsid w:val="003C6531"/>
    <w:rsid w:val="00500968"/>
    <w:rsid w:val="005C513A"/>
    <w:rsid w:val="0062180A"/>
    <w:rsid w:val="007448FD"/>
    <w:rsid w:val="008712B2"/>
    <w:rsid w:val="00A81C02"/>
    <w:rsid w:val="00C82A00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2022-09-29T08:49:00Z</dcterms:modified>
</cp:coreProperties>
</file>