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E7AD3">
        <w:rPr>
          <w:rFonts w:ascii="Times New Roman" w:hAnsi="Times New Roman" w:cs="Times New Roman"/>
          <w:sz w:val="20"/>
          <w:szCs w:val="20"/>
        </w:rPr>
        <w:t xml:space="preserve"> </w:t>
      </w:r>
      <w:r w:rsidR="00776628">
        <w:rPr>
          <w:rFonts w:ascii="Times New Roman" w:hAnsi="Times New Roman" w:cs="Times New Roman"/>
          <w:sz w:val="20"/>
          <w:szCs w:val="20"/>
        </w:rPr>
        <w:t xml:space="preserve"> </w:t>
      </w:r>
      <w:r w:rsidR="0051467D">
        <w:rPr>
          <w:rFonts w:ascii="Times New Roman" w:hAnsi="Times New Roman" w:cs="Times New Roman"/>
          <w:sz w:val="20"/>
          <w:szCs w:val="20"/>
        </w:rPr>
        <w:t>ЭА-60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 xml:space="preserve">оставку </w:t>
      </w:r>
      <w:r w:rsidR="00E5343C">
        <w:rPr>
          <w:rFonts w:ascii="Times New Roman" w:hAnsi="Times New Roman" w:cs="Times New Roman"/>
          <w:sz w:val="20"/>
          <w:szCs w:val="20"/>
        </w:rPr>
        <w:t>интерактивных панелей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70037A">
        <w:rPr>
          <w:rFonts w:ascii="Times New Roman" w:hAnsi="Times New Roman" w:cs="Times New Roman"/>
          <w:sz w:val="20"/>
          <w:szCs w:val="20"/>
        </w:rPr>
        <w:t xml:space="preserve"> </w:t>
      </w:r>
      <w:r w:rsidR="00396A8D">
        <w:t>221540211315554020100100</w:t>
      </w:r>
      <w:r w:rsidR="0051467D">
        <w:t>89</w:t>
      </w:r>
      <w:bookmarkStart w:id="0" w:name="_GoBack"/>
      <w:bookmarkEnd w:id="0"/>
      <w:r w:rsidR="0070037A" w:rsidRPr="00281A77">
        <w:t>0</w:t>
      </w:r>
      <w:r w:rsidR="0070037A">
        <w:t>01</w:t>
      </w:r>
      <w:r w:rsidR="0070037A" w:rsidRPr="00916922">
        <w:t>2620244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1E27BE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b/>
          <w:sz w:val="20"/>
        </w:rPr>
      </w:pPr>
      <w:r w:rsidRPr="008F1042">
        <w:rPr>
          <w:rFonts w:ascii="Times New Roman" w:hAnsi="Times New Roman" w:cs="Times New Roman"/>
          <w:b/>
          <w:sz w:val="20"/>
        </w:rPr>
        <w:t>Устанавливается запрет на допуск промышленных товаров, происходящих из иностранных государств, в соответствии с  Постановлением Правительства РФ от 20.04.2020 №616, а именно на това</w:t>
      </w:r>
      <w:r>
        <w:rPr>
          <w:rFonts w:ascii="Times New Roman" w:hAnsi="Times New Roman" w:cs="Times New Roman"/>
          <w:b/>
          <w:sz w:val="20"/>
        </w:rPr>
        <w:t xml:space="preserve">ры по коду ОКПД-2: 26.20.13.000, указанного в </w:t>
      </w:r>
      <w:r w:rsidR="00FE0EAE">
        <w:rPr>
          <w:rFonts w:ascii="Times New Roman" w:hAnsi="Times New Roman" w:cs="Times New Roman"/>
          <w:b/>
          <w:sz w:val="20"/>
        </w:rPr>
        <w:t xml:space="preserve">  </w:t>
      </w:r>
      <w:r w:rsidR="00B705A5">
        <w:rPr>
          <w:rFonts w:ascii="Times New Roman" w:hAnsi="Times New Roman" w:cs="Times New Roman"/>
          <w:b/>
          <w:sz w:val="20"/>
        </w:rPr>
        <w:t>п.25</w:t>
      </w:r>
      <w:r w:rsidRPr="008F1042">
        <w:rPr>
          <w:rFonts w:ascii="Times New Roman" w:hAnsi="Times New Roman" w:cs="Times New Roman"/>
          <w:b/>
          <w:sz w:val="20"/>
        </w:rPr>
        <w:t xml:space="preserve"> перечня постановления.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  <w:r w:rsidRPr="008F1042">
        <w:rPr>
          <w:rFonts w:ascii="Times New Roman" w:hAnsi="Times New Roman" w:cs="Times New Roman"/>
          <w:sz w:val="20"/>
        </w:rPr>
        <w:t>Для подтверждения  страны происхождения товара,  в отношении которого установлен запрет,  участник в заявке декларирует  согласно   п.10 Постановления Правительства РФ: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  <w:proofErr w:type="gramStart"/>
      <w:r w:rsidRPr="008F1042">
        <w:rPr>
          <w:rFonts w:ascii="Times New Roman" w:hAnsi="Times New Roman" w:cs="Times New Roman"/>
          <w:sz w:val="20"/>
        </w:rPr>
        <w:t>- в отношении товаров, страной происхождения которых является Российская Федерация – номера реестровых записей из единого  реестра российской радиоэлектронной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</w:r>
      <w:proofErr w:type="gramEnd"/>
      <w:r w:rsidRPr="008F1042">
        <w:rPr>
          <w:rFonts w:ascii="Times New Roman" w:hAnsi="Times New Roman" w:cs="Times New Roman"/>
          <w:sz w:val="20"/>
        </w:rPr>
        <w:t xml:space="preserve"> выполнение (освоение) на территории Российской Федерации соответствующих операций (условий);</w:t>
      </w:r>
    </w:p>
    <w:p w:rsidR="008F1042" w:rsidRPr="008F1042" w:rsidRDefault="008F1042" w:rsidP="008F1042">
      <w:pPr>
        <w:pStyle w:val="ConsPlusNormal"/>
        <w:rPr>
          <w:rFonts w:ascii="Times New Roman" w:hAnsi="Times New Roman" w:cs="Times New Roman"/>
          <w:sz w:val="20"/>
        </w:rPr>
      </w:pPr>
      <w:proofErr w:type="gramStart"/>
      <w:r w:rsidRPr="008F1042">
        <w:rPr>
          <w:rFonts w:ascii="Times New Roman" w:hAnsi="Times New Roman" w:cs="Times New Roman"/>
          <w:sz w:val="20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8F1042">
        <w:rPr>
          <w:rFonts w:ascii="Times New Roman" w:hAnsi="Times New Roman" w:cs="Times New Roman"/>
          <w:sz w:val="20"/>
        </w:rPr>
        <w:t xml:space="preserve">, в </w:t>
      </w:r>
      <w:proofErr w:type="gramStart"/>
      <w:r w:rsidRPr="008F1042">
        <w:rPr>
          <w:rFonts w:ascii="Times New Roman" w:hAnsi="Times New Roman" w:cs="Times New Roman"/>
          <w:sz w:val="20"/>
        </w:rPr>
        <w:t>отношении</w:t>
      </w:r>
      <w:proofErr w:type="gramEnd"/>
      <w:r w:rsidRPr="008F1042">
        <w:rPr>
          <w:rFonts w:ascii="Times New Roman" w:hAnsi="Times New Roman" w:cs="Times New Roman"/>
          <w:sz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84645C" w:rsidRPr="008F1042" w:rsidRDefault="008F1042" w:rsidP="008F1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042">
        <w:rPr>
          <w:rFonts w:ascii="Times New Roman" w:hAnsi="Times New Roman" w:cs="Times New Roman"/>
          <w:sz w:val="20"/>
          <w:szCs w:val="20"/>
        </w:rPr>
        <w:t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</w:r>
    </w:p>
    <w:p w:rsidR="0084645C" w:rsidRDefault="0084645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E27BE"/>
    <w:rsid w:val="001F593E"/>
    <w:rsid w:val="00216701"/>
    <w:rsid w:val="00281A77"/>
    <w:rsid w:val="002E1D06"/>
    <w:rsid w:val="00301645"/>
    <w:rsid w:val="0032269F"/>
    <w:rsid w:val="00396A8D"/>
    <w:rsid w:val="003E2BBA"/>
    <w:rsid w:val="003E6475"/>
    <w:rsid w:val="003F77EA"/>
    <w:rsid w:val="0051467D"/>
    <w:rsid w:val="005D33ED"/>
    <w:rsid w:val="006072B0"/>
    <w:rsid w:val="00694370"/>
    <w:rsid w:val="006B2AB6"/>
    <w:rsid w:val="0070037A"/>
    <w:rsid w:val="00715D69"/>
    <w:rsid w:val="00776628"/>
    <w:rsid w:val="007D0DFB"/>
    <w:rsid w:val="007D1DC6"/>
    <w:rsid w:val="007F34E4"/>
    <w:rsid w:val="0082036A"/>
    <w:rsid w:val="0084645C"/>
    <w:rsid w:val="008E6C93"/>
    <w:rsid w:val="008F1042"/>
    <w:rsid w:val="009118ED"/>
    <w:rsid w:val="009357FB"/>
    <w:rsid w:val="00936816"/>
    <w:rsid w:val="009E7AD3"/>
    <w:rsid w:val="00A14C29"/>
    <w:rsid w:val="00A6450F"/>
    <w:rsid w:val="00AD187D"/>
    <w:rsid w:val="00B26E22"/>
    <w:rsid w:val="00B705A5"/>
    <w:rsid w:val="00BA3D63"/>
    <w:rsid w:val="00BF57DA"/>
    <w:rsid w:val="00CE759B"/>
    <w:rsid w:val="00D15FF9"/>
    <w:rsid w:val="00E07E01"/>
    <w:rsid w:val="00E5343C"/>
    <w:rsid w:val="00E76626"/>
    <w:rsid w:val="00F141AB"/>
    <w:rsid w:val="00FC38D6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2022-02-03T08:52:00Z</dcterms:created>
  <dcterms:modified xsi:type="dcterms:W3CDTF">2022-10-04T01:01:00Z</dcterms:modified>
</cp:coreProperties>
</file>