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65F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EE565F">
        <w:rPr>
          <w:rFonts w:ascii="Times New Roman" w:hAnsi="Times New Roman" w:cs="Times New Roman"/>
          <w:sz w:val="20"/>
          <w:szCs w:val="20"/>
        </w:rPr>
        <w:t xml:space="preserve"> ЭА-63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EE565F">
        <w:rPr>
          <w:rFonts w:ascii="Times New Roman" w:hAnsi="Times New Roman" w:cs="Times New Roman"/>
          <w:sz w:val="20"/>
          <w:szCs w:val="20"/>
        </w:rPr>
        <w:t>Оказание услуг по стирке белья для нужд студенческого городка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(ИКЗ </w:t>
      </w:r>
      <w:r w:rsidR="00EE565F" w:rsidRPr="00EE565F">
        <w:rPr>
          <w:rFonts w:ascii="Times New Roman" w:hAnsi="Times New Roman" w:cs="Times New Roman"/>
          <w:sz w:val="20"/>
          <w:szCs w:val="20"/>
        </w:rPr>
        <w:t>221540211315554020100100920019601244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2BBA" w:rsidRPr="00EE565F" w:rsidRDefault="00EE565F" w:rsidP="00EE56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 xml:space="preserve"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</w:t>
      </w:r>
      <w:r w:rsidRPr="00CE759B">
        <w:rPr>
          <w:rFonts w:ascii="Times New Roman" w:hAnsi="Times New Roman" w:cs="Times New Roman"/>
        </w:rPr>
        <w:lastRenderedPageBreak/>
        <w:t>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CE759B"/>
    <w:rsid w:val="00E07E01"/>
    <w:rsid w:val="00EE565F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2022-02-03T08:52:00Z</dcterms:created>
  <dcterms:modified xsi:type="dcterms:W3CDTF">2022-11-08T01:17:00Z</dcterms:modified>
</cp:coreProperties>
</file>